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1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transition period from _________ to __________</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001-40646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ABSCI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85-3383487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18105 SE Mill Plain Blvd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Vancouver, WA</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98683</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(360) 949-1041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31" w:type="dxa"/>
        <w:jc w:val="left"/>
        <w:tblInd w:w="0" w:type="dxa"/>
        <w:tblLayout w:type="fixed"/>
        <w:tblCellMar>
          <w:top w:w="28" w:type="dxa"/>
          <w:left w:w="28" w:type="dxa"/>
          <w:bottom w:w="28" w:type="dxa"/>
          <w:right w:w="28" w:type="dxa"/>
        </w:tblCellMar>
      </w:tblPr>
      <w:tblGrid>
        <w:gridCol w:w="954"/>
        <w:gridCol w:w="840"/>
        <w:gridCol w:w="845"/>
        <w:gridCol w:w="109"/>
        <w:gridCol w:w="109"/>
        <w:gridCol w:w="109"/>
        <w:gridCol w:w="519"/>
        <w:gridCol w:w="519"/>
        <w:gridCol w:w="521"/>
        <w:gridCol w:w="109"/>
        <w:gridCol w:w="109"/>
        <w:gridCol w:w="109"/>
        <w:gridCol w:w="1019"/>
        <w:gridCol w:w="1019"/>
        <w:gridCol w:w="1441"/>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Common Stock. $0.0001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ABSI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6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erif" w:hAnsi="Times New Roman;serif"/>
          <w:b w:val="false"/>
          <w:color w:val="000000"/>
          <w:sz w:val="16"/>
        </w:rPr>
        <w:t>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6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     </w:t>
      </w:r>
      <w:r>
        <w:rPr>
          <w:rFonts w:ascii="Times New Roman;serif" w:hAnsi="Times New Roman;serif"/>
          <w:b w:val="false"/>
          <w:color w:val="000000"/>
          <w:sz w:val="16"/>
        </w:rPr>
        <w:t>N</w:t>
      </w:r>
      <w:r>
        <w:rPr>
          <w:rFonts w:ascii="Times New Roman;serif" w:hAnsi="Times New Roman;serif"/>
          <w:b w:val="false"/>
          <w:color w:val="000000"/>
          <w:sz w:val="20"/>
        </w:rPr>
        <w:t>o </w:t>
      </w:r>
      <w:r>
        <w:rPr>
          <w:color w:val="000000"/>
        </w:rPr>
        <w:t> ☒</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The registrant had outstanding 155,905,056 shares of $0.0001 par value common stock as of April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7955"/>
                <wp:effectExtent l="0" t="0" r="0" b="0"/>
                <wp:wrapNone/>
                <wp:docPr id="1" name="Frame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Table of Contents</w:t>
      </w:r>
    </w:p>
    <w:tbl>
      <w:tblPr>
        <w:tblW w:w="10205" w:type="dxa"/>
        <w:jc w:val="left"/>
        <w:tblInd w:w="0" w:type="dxa"/>
        <w:tblLayout w:type="fixed"/>
        <w:tblCellMar>
          <w:top w:w="28" w:type="dxa"/>
          <w:left w:w="28" w:type="dxa"/>
          <w:bottom w:w="28" w:type="dxa"/>
          <w:right w:w="28" w:type="dxa"/>
        </w:tblCellMar>
      </w:tblPr>
      <w:tblGrid>
        <w:gridCol w:w="491"/>
        <w:gridCol w:w="432"/>
        <w:gridCol w:w="432"/>
        <w:gridCol w:w="2820"/>
        <w:gridCol w:w="2639"/>
        <w:gridCol w:w="2517"/>
        <w:gridCol w:w="253"/>
        <w:gridCol w:w="253"/>
        <w:gridCol w:w="368"/>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Page No.</w:t>
            </w:r>
          </w:p>
        </w:tc>
      </w:tr>
      <w:tr>
        <w:trPr/>
        <w:tc>
          <w:tcPr>
            <w:tcW w:w="93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48">
              <w:r>
                <w:rPr>
                  <w:rStyle w:val="InternetLink"/>
                  <w:rFonts w:ascii="Frutiger LT 55 Roman;sans-serif" w:hAnsi="Frutiger LT 55 Roman;sans-serif"/>
                  <w:b w:val="false"/>
                  <w:color w:val="0000FF"/>
                  <w:sz w:val="20"/>
                  <w:u w:val="single"/>
                </w:rPr>
                <w:t>Part I Financial Information (Unaudited)</w:t>
              </w:r>
            </w:hyperlink>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893c3386546e48e080a4f83a97afa1a3_148">
              <w:r>
                <w:rPr>
                  <w:rStyle w:val="InternetLink"/>
                  <w:rFonts w:ascii="Frutiger LT 55 Roman;sans-serif" w:hAnsi="Frutiger LT 55 Roman;sans-serif"/>
                  <w:b w:val="false"/>
                  <w:color w:val="0000FF"/>
                  <w:sz w:val="20"/>
                  <w:u w:val="single"/>
                </w:rPr>
                <w:t>7</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51">
              <w:r>
                <w:rPr>
                  <w:rStyle w:val="InternetLink"/>
                  <w:rFonts w:ascii="Frutiger LT 55 Roman;sans-serif" w:hAnsi="Frutiger LT 55 Roman;sans-serif"/>
                  <w:b w:val="false"/>
                  <w:color w:val="0000FF"/>
                  <w:sz w:val="20"/>
                  <w:u w:val="single"/>
                </w:rPr>
                <w:t>Item 1.</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51">
              <w:r>
                <w:rPr>
                  <w:rStyle w:val="InternetLink"/>
                  <w:rFonts w:ascii="Frutiger LT 55 Roman;sans-serif" w:hAnsi="Frutiger LT 55 Roman;sans-serif"/>
                  <w:b w:val="false"/>
                  <w:color w:val="0000FF"/>
                  <w:sz w:val="20"/>
                  <w:u w:val="single"/>
                </w:rPr>
                <w:t>Unaudited Condensed Consolidated Financial Statements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151">
              <w:r>
                <w:rPr>
                  <w:rStyle w:val="InternetLink"/>
                  <w:rFonts w:ascii="Frutiger LT 55 Roman;sans-serif" w:hAnsi="Frutiger LT 55 Roman;sans-serif"/>
                  <w:b w:val="false"/>
                  <w:color w:val="0000FF"/>
                  <w:sz w:val="20"/>
                  <w:u w:val="single"/>
                </w:rPr>
                <w:t>7</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54">
              <w:r>
                <w:rPr>
                  <w:rStyle w:val="InternetLink"/>
                  <w:rFonts w:ascii="Frutiger LT 55 Roman;sans-serif" w:hAnsi="Frutiger LT 55 Roman;sans-serif"/>
                  <w:b w:val="false"/>
                  <w:color w:val="0000FF"/>
                  <w:sz w:val="20"/>
                  <w:u w:val="single"/>
                </w:rPr>
                <w:t>Unaudited Condensed Consolidated Balance Sheets as of March 31, 2026 and December 31, 2025</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154">
              <w:r>
                <w:rPr>
                  <w:rStyle w:val="InternetLink"/>
                  <w:rFonts w:ascii="Frutiger LT 55 Roman;sans-serif" w:hAnsi="Frutiger LT 55 Roman;sans-serif"/>
                  <w:b w:val="false"/>
                  <w:color w:val="0000FF"/>
                  <w:sz w:val="20"/>
                  <w:u w:val="single"/>
                </w:rPr>
                <w:t>7</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57">
              <w:r>
                <w:rPr>
                  <w:rStyle w:val="InternetLink"/>
                  <w:rFonts w:ascii="Frutiger LT 55 Roman;sans-serif" w:hAnsi="Frutiger LT 55 Roman;sans-serif"/>
                  <w:b w:val="false"/>
                  <w:color w:val="0000FF"/>
                  <w:sz w:val="20"/>
                  <w:u w:val="single"/>
                </w:rPr>
                <w:t>Unaudited Condensed Consolidated Statements of Operations and Comprehensive Loss for the Three Months Ended March 31, 2026 and 2025</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157">
              <w:r>
                <w:rPr>
                  <w:rStyle w:val="InternetLink"/>
                  <w:rFonts w:ascii="Frutiger LT 55 Roman;sans-serif" w:hAnsi="Frutiger LT 55 Roman;sans-serif"/>
                  <w:b w:val="false"/>
                  <w:color w:val="0000FF"/>
                  <w:sz w:val="20"/>
                  <w:u w:val="single"/>
                </w:rPr>
                <w:t>8</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60">
              <w:r>
                <w:rPr>
                  <w:rStyle w:val="InternetLink"/>
                  <w:rFonts w:ascii="Frutiger LT 55 Roman;sans-serif" w:hAnsi="Frutiger LT 55 Roman;sans-serif"/>
                  <w:b w:val="false"/>
                  <w:color w:val="0000FF"/>
                  <w:sz w:val="20"/>
                  <w:u w:val="single"/>
                </w:rPr>
                <w:t>Unaudited Condensed Consolidated Statements of Changes in Stockholders’ Equity for the Three Months Ended March 31, 2026 and 2025</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160">
              <w:r>
                <w:rPr>
                  <w:rStyle w:val="InternetLink"/>
                  <w:rFonts w:ascii="Frutiger LT 55 Roman;sans-serif" w:hAnsi="Frutiger LT 55 Roman;sans-serif"/>
                  <w:b w:val="false"/>
                  <w:color w:val="0000FF"/>
                  <w:sz w:val="20"/>
                  <w:u w:val="single"/>
                </w:rPr>
                <w:t>9</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63">
              <w:r>
                <w:rPr>
                  <w:rStyle w:val="InternetLink"/>
                  <w:rFonts w:ascii="Frutiger LT 55 Roman;sans-serif" w:hAnsi="Frutiger LT 55 Roman;sans-serif"/>
                  <w:b w:val="false"/>
                  <w:color w:val="0000FF"/>
                  <w:sz w:val="20"/>
                  <w:u w:val="single"/>
                </w:rPr>
                <w:t>Unaudited Condensed Consolidated Statements of Cash Flows for the Three Months Ended March 31, 2026 and 2025</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163">
              <w:r>
                <w:rPr>
                  <w:rStyle w:val="InternetLink"/>
                  <w:rFonts w:ascii="Frutiger LT 55 Roman;sans-serif" w:hAnsi="Frutiger LT 55 Roman;sans-serif"/>
                  <w:b w:val="false"/>
                  <w:color w:val="0000FF"/>
                  <w:sz w:val="20"/>
                  <w:u w:val="single"/>
                </w:rPr>
                <w:t>10</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66">
              <w:r>
                <w:rPr>
                  <w:rStyle w:val="InternetLink"/>
                  <w:rFonts w:ascii="Frutiger LT 55 Roman;sans-serif" w:hAnsi="Frutiger LT 55 Roman;sans-serif"/>
                  <w:b w:val="false"/>
                  <w:color w:val="0000FF"/>
                  <w:sz w:val="20"/>
                  <w:u w:val="single"/>
                </w:rPr>
                <w:t>Notes to Unaudited Condensed Consolidated Financial Statements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166">
              <w:r>
                <w:rPr>
                  <w:rStyle w:val="InternetLink"/>
                  <w:rFonts w:ascii="Frutiger LT 55 Roman;sans-serif" w:hAnsi="Frutiger LT 55 Roman;sans-serif"/>
                  <w:b w:val="false"/>
                  <w:color w:val="0000FF"/>
                  <w:sz w:val="20"/>
                  <w:u w:val="single"/>
                </w:rPr>
                <w:t>11</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03">
              <w:r>
                <w:rPr>
                  <w:rStyle w:val="InternetLink"/>
                  <w:rFonts w:ascii="Frutiger LT 55 Roman;sans-serif" w:hAnsi="Frutiger LT 55 Roman;sans-serif"/>
                  <w:b w:val="false"/>
                  <w:color w:val="0000FF"/>
                  <w:sz w:val="20"/>
                  <w:u w:val="single"/>
                </w:rPr>
                <w:t>Item 2.</w:t>
              </w:r>
            </w:hyperlink>
            <w:r>
              <w:rPr>
                <w:color w:val="000000"/>
                <w:u w:val="single"/>
              </w:rPr>
              <w:t xml:space="preserve"> </w:t>
            </w:r>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103">
              <w:r>
                <w:rPr>
                  <w:rStyle w:val="InternetLink"/>
                  <w:rFonts w:ascii="Frutiger LT 55 Roman;sans-serif" w:hAnsi="Frutiger LT 55 Roman;sans-serif"/>
                  <w:b w:val="false"/>
                  <w:color w:val="0000FF"/>
                  <w:sz w:val="20"/>
                  <w:u w:val="single"/>
                </w:rPr>
                <w:t>Management’s Discussion and Analysis of Financial Condition and Results of Operations</w:t>
              </w:r>
            </w:hyperlink>
            <w:r>
              <w:rPr>
                <w:color w:val="000000"/>
                <w:u w:val="single"/>
              </w:rPr>
              <w:t xml:space="preserve"> </w:t>
            </w:r>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103">
              <w:r>
                <w:rPr>
                  <w:rStyle w:val="InternetLink"/>
                  <w:rFonts w:ascii="Frutiger LT 55 Roman;sans-serif" w:hAnsi="Frutiger LT 55 Roman;sans-serif"/>
                  <w:b w:val="false"/>
                  <w:color w:val="0000FF"/>
                  <w:sz w:val="20"/>
                  <w:u w:val="single"/>
                </w:rPr>
                <w:t>18</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53">
              <w:r>
                <w:rPr>
                  <w:rStyle w:val="InternetLink"/>
                  <w:rFonts w:ascii="Frutiger LT 55 Roman;sans-serif" w:hAnsi="Frutiger LT 55 Roman;sans-serif"/>
                  <w:b w:val="false"/>
                  <w:color w:val="0000FF"/>
                  <w:sz w:val="20"/>
                  <w:u w:val="single"/>
                </w:rPr>
                <w:t>Item 3.</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53">
              <w:r>
                <w:rPr>
                  <w:rStyle w:val="InternetLink"/>
                  <w:rFonts w:ascii="Frutiger LT 55 Roman;sans-serif" w:hAnsi="Frutiger LT 55 Roman;sans-serif"/>
                  <w:b w:val="false"/>
                  <w:color w:val="0000FF"/>
                  <w:sz w:val="20"/>
                  <w:u w:val="single"/>
                </w:rPr>
                <w:t>Quantitative and Qualitative Disclosure About Market Risk</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53">
              <w:r>
                <w:rPr>
                  <w:rStyle w:val="InternetLink"/>
                  <w:rFonts w:ascii="Frutiger LT 55 Roman;sans-serif" w:hAnsi="Frutiger LT 55 Roman;sans-serif"/>
                  <w:b w:val="false"/>
                  <w:color w:val="0000FF"/>
                  <w:sz w:val="20"/>
                  <w:u w:val="single"/>
                </w:rPr>
                <w:t>25</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56">
              <w:r>
                <w:rPr>
                  <w:rStyle w:val="InternetLink"/>
                  <w:rFonts w:ascii="Frutiger LT 55 Roman;sans-serif" w:hAnsi="Frutiger LT 55 Roman;sans-serif"/>
                  <w:b w:val="false"/>
                  <w:color w:val="0000FF"/>
                  <w:sz w:val="20"/>
                  <w:u w:val="single"/>
                </w:rPr>
                <w:t>Item 4.</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56">
              <w:r>
                <w:rPr>
                  <w:rStyle w:val="InternetLink"/>
                  <w:rFonts w:ascii="Frutiger LT 55 Roman;sans-serif" w:hAnsi="Frutiger LT 55 Roman;sans-serif"/>
                  <w:b w:val="false"/>
                  <w:color w:val="0000FF"/>
                  <w:sz w:val="20"/>
                  <w:u w:val="single"/>
                </w:rPr>
                <w:t>Controls and Procedures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56">
              <w:r>
                <w:rPr>
                  <w:rStyle w:val="InternetLink"/>
                  <w:rFonts w:ascii="Frutiger LT 55 Roman;sans-serif" w:hAnsi="Frutiger LT 55 Roman;sans-serif"/>
                  <w:b w:val="false"/>
                  <w:color w:val="0000FF"/>
                  <w:sz w:val="20"/>
                  <w:u w:val="single"/>
                </w:rPr>
                <w:t>25</w:t>
              </w:r>
            </w:hyperlink>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59">
              <w:r>
                <w:rPr>
                  <w:rStyle w:val="InternetLink"/>
                  <w:rFonts w:ascii="Frutiger LT 55 Roman;sans-serif" w:hAnsi="Frutiger LT 55 Roman;sans-serif"/>
                  <w:b w:val="false"/>
                  <w:color w:val="0000FF"/>
                  <w:sz w:val="20"/>
                  <w:u w:val="single"/>
                </w:rPr>
                <w:t>Part II Other Information</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59">
              <w:r>
                <w:rPr>
                  <w:rStyle w:val="InternetLink"/>
                  <w:rFonts w:ascii="Frutiger LT 55 Roman;sans-serif" w:hAnsi="Frutiger LT 55 Roman;sans-serif"/>
                  <w:b w:val="false"/>
                  <w:color w:val="0000FF"/>
                  <w:sz w:val="20"/>
                  <w:u w:val="single"/>
                </w:rPr>
                <w:t>26</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62">
              <w:r>
                <w:rPr>
                  <w:rStyle w:val="InternetLink"/>
                  <w:rFonts w:ascii="Frutiger LT 55 Roman;sans-serif" w:hAnsi="Frutiger LT 55 Roman;sans-serif"/>
                  <w:b w:val="false"/>
                  <w:color w:val="0000FF"/>
                  <w:sz w:val="20"/>
                  <w:u w:val="single"/>
                </w:rPr>
                <w:t>Item 1.</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62">
              <w:r>
                <w:rPr>
                  <w:rStyle w:val="InternetLink"/>
                  <w:rFonts w:ascii="Frutiger LT 55 Roman;sans-serif" w:hAnsi="Frutiger LT 55 Roman;sans-serif"/>
                  <w:b w:val="false"/>
                  <w:color w:val="0000FF"/>
                  <w:sz w:val="20"/>
                  <w:u w:val="single"/>
                </w:rPr>
                <w:t>Legal Proceedings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62">
              <w:r>
                <w:rPr>
                  <w:rStyle w:val="InternetLink"/>
                  <w:rFonts w:ascii="Frutiger LT 55 Roman;sans-serif" w:hAnsi="Frutiger LT 55 Roman;sans-serif"/>
                  <w:b w:val="false"/>
                  <w:color w:val="0000FF"/>
                  <w:sz w:val="20"/>
                  <w:u w:val="single"/>
                </w:rPr>
                <w:t>26</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67">
              <w:r>
                <w:rPr>
                  <w:rStyle w:val="InternetLink"/>
                  <w:rFonts w:ascii="Frutiger LT 55 Roman;sans-serif" w:hAnsi="Frutiger LT 55 Roman;sans-serif"/>
                  <w:b w:val="false"/>
                  <w:color w:val="0000FF"/>
                  <w:sz w:val="20"/>
                  <w:u w:val="single"/>
                </w:rPr>
                <w:t>Item 1A.</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67">
              <w:r>
                <w:rPr>
                  <w:rStyle w:val="InternetLink"/>
                  <w:rFonts w:ascii="Frutiger LT 55 Roman;sans-serif" w:hAnsi="Frutiger LT 55 Roman;sans-serif"/>
                  <w:b w:val="false"/>
                  <w:color w:val="0000FF"/>
                  <w:sz w:val="20"/>
                  <w:u w:val="single"/>
                </w:rPr>
                <w:t>Risk Factors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67">
              <w:r>
                <w:rPr>
                  <w:rStyle w:val="InternetLink"/>
                  <w:rFonts w:ascii="Frutiger LT 55 Roman;sans-serif" w:hAnsi="Frutiger LT 55 Roman;sans-serif"/>
                  <w:b w:val="false"/>
                  <w:color w:val="0000FF"/>
                  <w:sz w:val="20"/>
                  <w:u w:val="single"/>
                </w:rPr>
                <w:t>26</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65">
              <w:r>
                <w:rPr>
                  <w:rStyle w:val="InternetLink"/>
                  <w:rFonts w:ascii="Frutiger LT 55 Roman;sans-serif" w:hAnsi="Frutiger LT 55 Roman;sans-serif"/>
                  <w:b w:val="false"/>
                  <w:color w:val="0000FF"/>
                  <w:sz w:val="20"/>
                  <w:u w:val="single"/>
                </w:rPr>
                <w:t>Item 2.</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65">
              <w:r>
                <w:rPr>
                  <w:rStyle w:val="InternetLink"/>
                  <w:rFonts w:ascii="Frutiger LT 55 Roman;sans-serif" w:hAnsi="Frutiger LT 55 Roman;sans-serif"/>
                  <w:b w:val="false"/>
                  <w:color w:val="000080"/>
                  <w:sz w:val="20"/>
                  <w:u w:val="single"/>
                </w:rPr>
                <w:t>Unregistered Sales of Equity Securities</w:t>
              </w:r>
            </w:hyperlink>
            <w:hyperlink w:anchor="i893c3386546e48e080a4f83a97afa1a3_265">
              <w:r>
                <w:rPr>
                  <w:rStyle w:val="InternetLink"/>
                  <w:rFonts w:ascii="Frutiger LT 55 Roman;sans-serif" w:hAnsi="Frutiger LT 55 Roman;sans-serif"/>
                  <w:b w:val="false"/>
                  <w:color w:val="000080"/>
                  <w:sz w:val="20"/>
                  <w:u w:val="single"/>
                </w:rPr>
                <w:t xml:space="preserve"> and</w:t>
              </w:r>
            </w:hyperlink>
            <w:hyperlink w:anchor="i893c3386546e48e080a4f83a97afa1a3_265">
              <w:r>
                <w:rPr>
                  <w:rStyle w:val="InternetLink"/>
                  <w:rFonts w:ascii="Frutiger LT 55 Roman;sans-serif" w:hAnsi="Frutiger LT 55 Roman;sans-serif"/>
                  <w:b w:val="false"/>
                  <w:color w:val="000080"/>
                  <w:sz w:val="20"/>
                  <w:u w:val="single"/>
                </w:rPr>
                <w:t xml:space="preserve"> Use of Proceeds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65">
              <w:r>
                <w:rPr>
                  <w:rStyle w:val="InternetLink"/>
                  <w:rFonts w:ascii="Frutiger LT 55 Roman;sans-serif" w:hAnsi="Frutiger LT 55 Roman;sans-serif"/>
                  <w:b w:val="false"/>
                  <w:color w:val="0000FF"/>
                  <w:sz w:val="20"/>
                  <w:u w:val="single"/>
                </w:rPr>
                <w:t>81</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68">
              <w:r>
                <w:rPr>
                  <w:rStyle w:val="InternetLink"/>
                  <w:rFonts w:ascii="Frutiger LT 55 Roman;sans-serif" w:hAnsi="Frutiger LT 55 Roman;sans-serif"/>
                  <w:b w:val="false"/>
                  <w:color w:val="0000FF"/>
                  <w:sz w:val="20"/>
                  <w:u w:val="single"/>
                </w:rPr>
                <w:t>Item 3.</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68">
              <w:r>
                <w:rPr>
                  <w:rStyle w:val="InternetLink"/>
                  <w:rFonts w:ascii="Frutiger LT 55 Roman;sans-serif" w:hAnsi="Frutiger LT 55 Roman;sans-serif"/>
                  <w:b w:val="false"/>
                  <w:color w:val="0000FF"/>
                  <w:sz w:val="20"/>
                  <w:u w:val="single"/>
                </w:rPr>
                <w:t>Defaults Upon Senior Securities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68">
              <w:r>
                <w:rPr>
                  <w:rStyle w:val="InternetLink"/>
                  <w:rFonts w:ascii="Frutiger LT 55 Roman;sans-serif" w:hAnsi="Frutiger LT 55 Roman;sans-serif"/>
                  <w:b w:val="false"/>
                  <w:color w:val="0000FF"/>
                  <w:sz w:val="20"/>
                  <w:u w:val="single"/>
                </w:rPr>
                <w:t>81</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71">
              <w:r>
                <w:rPr>
                  <w:rStyle w:val="InternetLink"/>
                  <w:rFonts w:ascii="Frutiger LT 55 Roman;sans-serif" w:hAnsi="Frutiger LT 55 Roman;sans-serif"/>
                  <w:b w:val="false"/>
                  <w:color w:val="0000FF"/>
                  <w:sz w:val="20"/>
                  <w:u w:val="single"/>
                </w:rPr>
                <w:t>Item 4.</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71">
              <w:r>
                <w:rPr>
                  <w:rStyle w:val="InternetLink"/>
                  <w:rFonts w:ascii="Frutiger LT 55 Roman;sans-serif" w:hAnsi="Frutiger LT 55 Roman;sans-serif"/>
                  <w:b w:val="false"/>
                  <w:color w:val="0000FF"/>
                  <w:sz w:val="20"/>
                  <w:u w:val="single"/>
                </w:rPr>
                <w:t>Mine Safety Disclosures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71">
              <w:r>
                <w:rPr>
                  <w:rStyle w:val="InternetLink"/>
                  <w:rFonts w:ascii="Frutiger LT 55 Roman;sans-serif" w:hAnsi="Frutiger LT 55 Roman;sans-serif"/>
                  <w:b w:val="false"/>
                  <w:color w:val="0000FF"/>
                  <w:sz w:val="20"/>
                  <w:u w:val="single"/>
                </w:rPr>
                <w:t>82</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74">
              <w:r>
                <w:rPr>
                  <w:rStyle w:val="InternetLink"/>
                  <w:rFonts w:ascii="Frutiger LT 55 Roman;sans-serif" w:hAnsi="Frutiger LT 55 Roman;sans-serif"/>
                  <w:b w:val="false"/>
                  <w:color w:val="0000FF"/>
                  <w:sz w:val="20"/>
                  <w:u w:val="single"/>
                </w:rPr>
                <w:t>Item 5.</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74">
              <w:r>
                <w:rPr>
                  <w:rStyle w:val="InternetLink"/>
                  <w:rFonts w:ascii="Frutiger LT 55 Roman;sans-serif" w:hAnsi="Frutiger LT 55 Roman;sans-serif"/>
                  <w:b w:val="false"/>
                  <w:color w:val="0000FF"/>
                  <w:sz w:val="20"/>
                  <w:u w:val="single"/>
                </w:rPr>
                <w:t>Other Information</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74">
              <w:r>
                <w:rPr>
                  <w:rStyle w:val="InternetLink"/>
                  <w:rFonts w:ascii="Frutiger LT 55 Roman;sans-serif" w:hAnsi="Frutiger LT 55 Roman;sans-serif"/>
                  <w:b w:val="false"/>
                  <w:color w:val="0000FF"/>
                  <w:sz w:val="20"/>
                  <w:u w:val="single"/>
                </w:rPr>
                <w:t>82</w:t>
              </w:r>
            </w:hyperlink>
          </w:p>
        </w:tc>
      </w:tr>
      <w:tr>
        <w:trPr/>
        <w:tc>
          <w:tcPr>
            <w:tcW w:w="13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77">
              <w:r>
                <w:rPr>
                  <w:rStyle w:val="InternetLink"/>
                  <w:rFonts w:ascii="Frutiger LT 55 Roman;sans-serif" w:hAnsi="Frutiger LT 55 Roman;sans-serif"/>
                  <w:b w:val="false"/>
                  <w:color w:val="0000FF"/>
                  <w:sz w:val="20"/>
                  <w:u w:val="single"/>
                </w:rPr>
                <w:t>Item 6.</w:t>
              </w:r>
            </w:hyperlink>
          </w:p>
        </w:tc>
        <w:tc>
          <w:tcPr>
            <w:tcW w:w="7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277">
              <w:r>
                <w:rPr>
                  <w:rStyle w:val="InternetLink"/>
                  <w:rFonts w:ascii="Frutiger LT 55 Roman;sans-serif" w:hAnsi="Frutiger LT 55 Roman;sans-serif"/>
                  <w:b w:val="false"/>
                  <w:color w:val="0000FF"/>
                  <w:sz w:val="20"/>
                  <w:u w:val="single"/>
                </w:rPr>
                <w:t>Exhibits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277">
              <w:r>
                <w:rPr>
                  <w:rStyle w:val="InternetLink"/>
                  <w:rFonts w:ascii="Frutiger LT 55 Roman;sans-serif" w:hAnsi="Frutiger LT 55 Roman;sans-serif"/>
                  <w:b w:val="false"/>
                  <w:color w:val="0000FF"/>
                  <w:sz w:val="20"/>
                  <w:u w:val="single"/>
                </w:rPr>
                <w:t>83</w:t>
              </w:r>
            </w:hyperlink>
          </w:p>
        </w:tc>
      </w:tr>
      <w:tr>
        <w:trPr/>
        <w:tc>
          <w:tcPr>
            <w:tcW w:w="933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93c3386546e48e080a4f83a97afa1a3_307">
              <w:r>
                <w:rPr>
                  <w:rStyle w:val="InternetLink"/>
                  <w:rFonts w:ascii="Frutiger LT 55 Roman;sans-serif" w:hAnsi="Frutiger LT 55 Roman;sans-serif"/>
                  <w:b w:val="false"/>
                  <w:color w:val="0000FF"/>
                  <w:sz w:val="20"/>
                  <w:u w:val="single"/>
                </w:rPr>
                <w:t>Signatures</w:t>
              </w:r>
            </w:hyperlink>
          </w:p>
        </w:tc>
        <w:tc>
          <w:tcPr>
            <w:tcW w:w="8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93c3386546e48e080a4f83a97afa1a3_307">
              <w:r>
                <w:rPr>
                  <w:rStyle w:val="InternetLink"/>
                  <w:rFonts w:ascii="Frutiger LT 55 Roman;sans-serif" w:hAnsi="Frutiger LT 55 Roman;sans-serif"/>
                  <w:b w:val="false"/>
                  <w:color w:val="0000FF"/>
                  <w:sz w:val="20"/>
                  <w:u w:val="single"/>
                </w:rPr>
                <w:t>84</w:t>
              </w:r>
            </w:hyperlink>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RISK FACTOR SUMMARY </w:t>
      </w:r>
    </w:p>
    <w:p>
      <w:pPr>
        <w:pStyle w:val="TextBody"/>
        <w:bidi w:val="0"/>
        <w:spacing w:before="0" w:after="0"/>
        <w:jc w:val="center"/>
        <w:rPr/>
      </w:pPr>
      <w:r>
        <w:rPr/>
      </w:r>
    </w:p>
    <w:p>
      <w:pPr>
        <w:pStyle w:val="TextBody"/>
        <w:bidi w:val="0"/>
        <w:spacing w:lineRule="auto" w:line="268" w:before="0" w:after="0"/>
        <w:jc w:val="both"/>
        <w:rPr>
          <w:rFonts w:ascii="Frutiger LT 55 Roman;sans-serif" w:hAnsi="Frutiger LT 55 Roman;sans-serif"/>
          <w:b w:val="false"/>
          <w:color w:val="000000"/>
          <w:sz w:val="20"/>
        </w:rPr>
      </w:pPr>
      <w:r>
        <w:rPr>
          <w:rFonts w:ascii="Frutiger LT 55 Roman;sans-serif" w:hAnsi="Frutiger LT 55 Roman;sans-serif"/>
          <w:b w:val="false"/>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in Item 1A. - “Risk Factors” and should be carefully considered, together with other information in this Quarterly Report on Form 10-Q and our other filings with the U.S. Securities and Exchange Commission, or the SEC, before making investment decisions regarding our common stock.</w:t>
      </w:r>
    </w:p>
    <w:p>
      <w:pPr>
        <w:pStyle w:val="TextBody"/>
        <w:bidi w:val="0"/>
        <w:spacing w:before="0" w:after="160"/>
        <w:ind w:left="0" w:right="0" w:hanging="3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plans and expectations regarding the initiation, timing, progress, results, and costs of both of our internally developed programs and partnered programs, including current and future preclinical studies and clinical trials, and the period during which the results of such studies and trials will become available, are subject to a high degree of uncertainty.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short operating history may make it difficult for you to evaluate the success of our business to date and to assess our future viability.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have incurred significant losses since inception, we expect to incur losses in the future and we may not be able to generate sufficient revenue to achieve and maintain profitability.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will need to raise additional capital to fund our operations, pre-clinical and clinical development of our internally developed programs, and to improve our Integrated Drug Creation platform. If we are unable to raise additional capital on terms acceptable to us or at all, we may not be able to continue to develop our internally developed programs and/or compete successfully with our Integrated Drug Creation platform, which would harm our business, operations, and financial condition.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Biologic drug development is inherently uncertain, and it is possible that our technology may not succeed in discovering appropriate product candidates. Even if we do succeed, it is possible that none of the product candidates created using our Integrated Drug Creation platform will achieve development or regulatory milestones, including marketing approval, or become viable commercial technologies, on a timely basis or at all, which would harm our ability to generate revenue.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Positive results from early preclinical studies or preliminary results from clinical trials of our product candidates are not necessarily predictive of the results of later preclinical studies and any future clinical trials of our product candidates.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or our partners experience any of a number of possible unforeseen or negative events in connection with preclinical or clinical development, regulatory approval or commercialization of product candidates generated through our platform, this could negatively affect our revenue opportunity for that program, and/or have broader deleterious effects on our reputation and future partnership prospects.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and clinical development is uncertain. Our or our partners' preclinical and clinical product candidates may experience delays or may never advance to and/or through clinical trials, which would adversely affect our or our partners’ ability to obtain regulatory approvals or commercialize these product candidates on a timely basis or at all, which would have an adverse effect on our business.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markets in which we operate, including those for Integrated Drug Creation platform technology and our Internally Developed Programs, are highly competitive, and if we are unable to compete effectively, our business and prospects could be adversely affected.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rely and expect to continue to rely on third parties to conduct our preclinical studies and clinical trials. If those third parties do not perform as contractually required, fail to satisfy legal or regulatory requirements, miss expected deadlines or the relationship terminates prematurely, our internally developed programs could be delayed, more costly or unsuccessful, and such programs may never obtain regulatory approval or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do not achieve our projected development goals in the timeframes we announce and expect, the clinical development of our programs, commercialization of our programs, and validation of our Integrated Drug Creation platform may be delayed and our expenses may increase and, as a result, our stock price may decline.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commercial success depends on the technological capabilities of our Integrated Drug Creation platform and the advancement of our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are substantially dependent on the successful application of our Integrated Drug Creation platform to identify, design and advance product candidates for our internally developed programs. Our ability to generate and progress these programs, and in some cases enter into potential collaboration or licensing arrangements for further development, depends in part on the performance and continued development of our platform technologies.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partnership strategy significantly depends on the eventual approval and commercialization of product candidates developed under our partnerships for which we may have no control over the clinical development plan, regulatory strategy or commercialization efforts.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rely on a limited number of suppliers for laboratory equipment and materials and may not be able to find replacements or transition to alternative suppliers on a timely basis, or at all.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Integrated Drug Creation platform may not meet the expectations of our partners, which means our business, financial condition, results of operations and prospects could suffer.</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loss of any member of our senior leadership team or our inability to attract and retain highly skilled scientists and business development professionals could adversely affect our business.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depend on our information technology systems, and any significant disruptions to or failure of these systems could result in significant financial, legal, regulatory, business and reputational harm to our business.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are unable to obtain and maintain sufficient intellectual property protection for our technologies and product candidates, or if the scope of the intellectual property protection obtained is not sufficiently broad, our competitors could develop and commercialize technologies or product candidates similar or identical to ours, and our ability to successfully leverage our technologies or product candidates may be impaired.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Disruptions to the operations of the FDA, the SEC or other government agencies, including due to funding shortages, government shutdowns, policy changes or staffing reductions, could delay regulatory reviews, approvals or other governmental actions on which our business depends, which could adversely affect our business.</w:t>
      </w:r>
    </w:p>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SPECIAL NOTE REGARDING FORWARD-LOOKING STATEMENTS</w: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Quarterly Report on Form 10-Q includes “forward-looking statements” within the meaning of the U.S. Private Securities Litigation Reform Act of 1995.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“Management’s Discussion and Analysis of Financial Condition and Results of Operations”, and “Risk Factors”. Forward-looking statements can often be identified by the use of terminology such as “may,” “might,” “will,” “should,” “expects,” “intends,” “plans,” “anticipates,” “believes,” “estimates,” “predicts,” “potential,” “continue” or the negative of these terms or other comparable terminology.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plans and expectations regarding the initiation, timing, progress, results, and costs of our internal discovery, research and development programs, including current and future preclinical studies and clinical trials, and the period during which the results of such studies and trials will become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and timing to advance our product candidates in, and to successfully initiate, conduct, enroll and complete,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the therapeutic potential of our product candidates, and the disease indications for which we intend to develop our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timing and likelihood of, and our ability to obtain and maintain, regulatory clearances of our Investigational New Drug (IND) applications to initiate clinical trials and regulatory approval to commercialize our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expectations regarding our further development of, successful application of, and the rate and degree of market acceptance of, our Integrated Drug Creation platform, including progress towards fully </w:t>
      </w:r>
      <w:r>
        <w:rPr>
          <w:rFonts w:ascii="Frutiger LT 55 Roman;sans-serif" w:hAnsi="Frutiger LT 55 Roman;sans-serif"/>
          <w:b w:val="false"/>
          <w:i/>
          <w:color w:val="000000"/>
          <w:sz w:val="20"/>
        </w:rPr>
        <w:t>in silico</w:t>
      </w:r>
      <w:r>
        <w:rPr>
          <w:color w:val="000000"/>
        </w:rPr>
        <w:t xml:space="preserve"> </w:t>
      </w:r>
      <w:r>
        <w:rPr>
          <w:rFonts w:ascii="Frutiger LT 55 Roman;sans-serif" w:hAnsi="Frutiger LT 55 Roman;sans-serif"/>
          <w:b w:val="false"/>
          <w:color w:val="000000"/>
          <w:sz w:val="20"/>
        </w:rPr>
        <w:t>biologic drug discovery;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our ability to leverage our Integrated Drug Creation platform to shorten preclinical development timelines for biologics;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the markets for our product candidates, if approved, as well as those product candidates developed by our partners using our services and technologies, including the growth rate of the biologics market;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attract new partners and enter into drug creation agreements that contain milestone and royalty obligations in favor of us;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adverse public perception of the use of AI and product candidates developed using AI may negatively impact demand for, or regulatory approval of, our product candidates and adversely affect investor and marketplace perception of our platform technology;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potential to receive revenue from the achievement of milestones and from royalties on net sales under agreements with our partners with respect to products originating from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enter into commercial license agreements for our partnered programs with those partners who do not currently have milestone payment and royalty obligations to us;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manage and grow our business by expanding our relationships with existing partners or introducing our Integrated Drug Creation platform to new partners and developing product candidates for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our current and future partners’ continued development of, and ability to commercialize, biologic drugs generated utilizing our proprietary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strategy, including our strategy to advance internally developed programs through preclinical studies and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estimates of our expenses, ongoing losses, future revenue, capital requirements and our need for or ability to obtain additional funding before we can expect to generate additional revenue;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estimates of the sufficiency of our cash, cash equivalents and marketable securities;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calculations and estimates related to the valuation of our intangible assets;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establish, maintain or expand collaborations, partnerships or strategic relationships;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provide our partners with a full drug discovery solution and the use of artificial intelligence (AI) across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obtain, maintain and enforce intellectual property protection for our platform, products and other technologies, the duration of such protection and our ability to operate our business without infringing on the intellectual property rights of others;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attract, hire and retain key personnel and to manage our growth effectively;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use of our cash, cash equivalents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financial performance and that of companies in our industry and the financial markets generally;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volatility of the trading price of our common stock;</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competitive position and the development of and projections relating to our competitors or our industry;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impact of laws and regulations on our business and operations;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the time during which we will be an emerging growth company under the Jumpstart Our Business Startups Act of 2012 (JOBS Act);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global economic conditions, including market volatility, acts of war and civil and political unrest, and our expectations about market trends and effects from inflation and fluctuations in interest rates.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forward-looking statements in this Quarterly Report on Form 10-Q reflect our current views with respect to future events or to our future 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Quarterly Report on Form 10-Q. You should not rely upon forward-looking statements as predictions of future events. Such forward-looking statements speak only as of the date of this report. Our forward-looking statements do not reflect the potential impact of any future acquisitions, mergers, dispositions, joint ventures or investments we may make or enter into.</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Quarterly Report on Form 10-Q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w:t>
        <w:noBreakHyphen/>
        <w:t>party sources. While we believe our internal company research is reliable and the market definitions are appropriate, neither such research nor these definitions have been verified by any independent source.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Throughout this Quarterly Report on Form 10-Q, the “Company,” “Absci,” “Absci Corporation,” “we,” “us,” and “our,” except where the context requires otherwise, refer to Absci Corporation and its consolidated subsidiaries; “our board of directors” refers to the board of directors of Absci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93c3386546e48e080a4f83a97afa1a3_13">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24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CONDENSED CONSOLIDATED BALANCE SHEETS</w:t>
      </w:r>
    </w:p>
    <w:tbl>
      <w:tblPr>
        <w:tblW w:w="8159" w:type="dxa"/>
        <w:jc w:val="left"/>
        <w:tblInd w:w="0" w:type="dxa"/>
        <w:tblLayout w:type="fixed"/>
        <w:tblCellMar>
          <w:top w:w="28" w:type="dxa"/>
          <w:left w:w="28" w:type="dxa"/>
          <w:bottom w:w="28" w:type="dxa"/>
          <w:right w:w="28" w:type="dxa"/>
        </w:tblCellMar>
      </w:tblPr>
      <w:tblGrid>
        <w:gridCol w:w="1787"/>
        <w:gridCol w:w="1572"/>
        <w:gridCol w:w="1576"/>
        <w:gridCol w:w="109"/>
        <w:gridCol w:w="109"/>
        <w:gridCol w:w="109"/>
        <w:gridCol w:w="211"/>
        <w:gridCol w:w="826"/>
        <w:gridCol w:w="109"/>
        <w:gridCol w:w="109"/>
        <w:gridCol w:w="109"/>
        <w:gridCol w:w="109"/>
        <w:gridCol w:w="252"/>
        <w:gridCol w:w="988"/>
        <w:gridCol w:w="184"/>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20,025 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124,267 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5,281 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131,972 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149,573 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2,914 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20,860 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41,514 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Restricted cash,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383 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195,593 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216,297 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19,348 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873 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739 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22,765 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obligations,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436 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23,622 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26,848 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826,035 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813,627 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(654,383)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(624,784)</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171,971 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189,449 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195,593 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216,297 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24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1677"/>
        <w:gridCol w:w="1418"/>
        <w:gridCol w:w="1422"/>
        <w:gridCol w:w="109"/>
        <w:gridCol w:w="109"/>
        <w:gridCol w:w="109"/>
        <w:gridCol w:w="109"/>
        <w:gridCol w:w="109"/>
        <w:gridCol w:w="281"/>
        <w:gridCol w:w="281"/>
        <w:gridCol w:w="576"/>
        <w:gridCol w:w="2053"/>
        <w:gridCol w:w="281"/>
        <w:gridCol w:w="109"/>
        <w:gridCol w:w="109"/>
        <w:gridCol w:w="109"/>
        <w:gridCol w:w="264"/>
        <w:gridCol w:w="922"/>
        <w:gridCol w:w="158"/>
      </w:tblGrid>
      <w:tr>
        <w:trPr/>
        <w:tc>
          <w:tcPr>
            <w:tcW w:w="167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2"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March 31,</w:t>
            </w:r>
          </w:p>
        </w:tc>
        <w:tc>
          <w:tcPr>
            <w:tcW w:w="1671" w:type="dxa"/>
            <w:gridSpan w:val="6"/>
            <w:tcBorders/>
          </w:tcPr>
          <w:p>
            <w:pPr>
              <w:pStyle w:val="TableContents"/>
              <w:bidi w:val="0"/>
              <w:spacing w:before="0" w:after="283"/>
              <w:jc w:val="left"/>
              <w:rPr>
                <w:sz w:val="4"/>
                <w:szCs w:val="4"/>
              </w:rPr>
            </w:pPr>
            <w:r>
              <w:rPr>
                <w:sz w:val="4"/>
                <w:szCs w:val="4"/>
              </w:rPr>
            </w:r>
          </w:p>
        </w:tc>
      </w:tr>
      <w:tr>
        <w:trPr/>
        <w:tc>
          <w:tcPr>
            <w:tcW w:w="45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4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Partner program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19,275 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16,364 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9,058 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9,472 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2,728 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31,061 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28,908 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(30,846)</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(27,729)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1,283 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1,265 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1,379 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(29,581)</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(26,350)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(29,599)</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(26,346)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 per share:</w:t>
              <w:b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(0.19)</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Weighted-average common shares outstanding:</w:t>
              <w:b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152,961,894 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124,461,439 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(29,599)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2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(29,886)</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(26,323)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STATEMENTS OF CHANGES IN STOCKHOLDERS’ EQUITY</w:t>
      </w:r>
    </w:p>
    <w:p>
      <w:pPr>
        <w:pStyle w:val="TextBody"/>
        <w:bidi w:val="0"/>
        <w:spacing w:before="0" w:after="0"/>
        <w:jc w:val="center"/>
        <w:rPr/>
      </w:pPr>
      <w:r>
        <w:rPr/>
      </w:r>
    </w:p>
    <w:tbl>
      <w:tblPr>
        <w:tblW w:w="14005" w:type="dxa"/>
        <w:jc w:val="center"/>
        <w:tblInd w:w="0" w:type="dxa"/>
        <w:tblLayout w:type="fixed"/>
        <w:tblCellMar>
          <w:top w:w="28" w:type="dxa"/>
          <w:left w:w="28" w:type="dxa"/>
          <w:bottom w:w="28" w:type="dxa"/>
          <w:right w:w="28" w:type="dxa"/>
        </w:tblCellMar>
      </w:tblPr>
      <w:tblGrid>
        <w:gridCol w:w="559"/>
        <w:gridCol w:w="373"/>
        <w:gridCol w:w="374"/>
        <w:gridCol w:w="109"/>
        <w:gridCol w:w="109"/>
        <w:gridCol w:w="109"/>
        <w:gridCol w:w="109"/>
        <w:gridCol w:w="109"/>
        <w:gridCol w:w="109"/>
        <w:gridCol w:w="109"/>
        <w:gridCol w:w="183"/>
        <w:gridCol w:w="183"/>
        <w:gridCol w:w="183"/>
        <w:gridCol w:w="183"/>
        <w:gridCol w:w="184"/>
        <w:gridCol w:w="109"/>
        <w:gridCol w:w="1081"/>
        <w:gridCol w:w="109"/>
        <w:gridCol w:w="659"/>
        <w:gridCol w:w="527"/>
        <w:gridCol w:w="441"/>
        <w:gridCol w:w="109"/>
        <w:gridCol w:w="109"/>
        <w:gridCol w:w="109"/>
        <w:gridCol w:w="474"/>
        <w:gridCol w:w="811"/>
        <w:gridCol w:w="246"/>
        <w:gridCol w:w="245"/>
        <w:gridCol w:w="245"/>
        <w:gridCol w:w="246"/>
        <w:gridCol w:w="254"/>
        <w:gridCol w:w="995"/>
        <w:gridCol w:w="132"/>
        <w:gridCol w:w="109"/>
        <w:gridCol w:w="109"/>
        <w:gridCol w:w="109"/>
        <w:gridCol w:w="211"/>
        <w:gridCol w:w="841"/>
        <w:gridCol w:w="109"/>
        <w:gridCol w:w="109"/>
        <w:gridCol w:w="109"/>
        <w:gridCol w:w="109"/>
        <w:gridCol w:w="211"/>
        <w:gridCol w:w="466"/>
        <w:gridCol w:w="10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color w:val="000000"/>
                <w:sz w:val="16"/>
              </w:rPr>
            </w:pPr>
            <w:r>
              <w:rPr>
                <w:rFonts w:ascii="Frutiger LT 55 Roman;sans-serif" w:hAnsi="Frutiger LT 55 Roman;sans-serif"/>
                <w:b/>
                <w:color w:val="000000"/>
                <w:sz w:val="16"/>
              </w:rPr>
              <w:t>(In thousands, except for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Other Comprehensive Income (Loss)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Total Stockholders' Equity</w:t>
            </w:r>
          </w:p>
        </w:tc>
        <w:tc>
          <w:tcPr>
            <w:tcW w:w="4119" w:type="dxa"/>
            <w:gridSpan w:val="18"/>
            <w:tcBorders/>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Shares</w:t>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151,515,079 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813,627 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(624,784)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189,449 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2,871,218 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7,957 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under stock plans, net of shares withheld for tax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963,838 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(29,599)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155,350,135 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826,035 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(654,383)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171,971 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46387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tbl>
      <w:tblPr>
        <w:tblW w:w="13900" w:type="dxa"/>
        <w:jc w:val="left"/>
        <w:tblInd w:w="0" w:type="dxa"/>
        <w:tblLayout w:type="fixed"/>
        <w:tblCellMar>
          <w:top w:w="28" w:type="dxa"/>
          <w:left w:w="28" w:type="dxa"/>
          <w:bottom w:w="28" w:type="dxa"/>
          <w:right w:w="28" w:type="dxa"/>
        </w:tblCellMar>
      </w:tblPr>
      <w:tblGrid>
        <w:gridCol w:w="559"/>
        <w:gridCol w:w="373"/>
        <w:gridCol w:w="374"/>
        <w:gridCol w:w="109"/>
        <w:gridCol w:w="109"/>
        <w:gridCol w:w="109"/>
        <w:gridCol w:w="109"/>
        <w:gridCol w:w="109"/>
        <w:gridCol w:w="109"/>
        <w:gridCol w:w="109"/>
        <w:gridCol w:w="183"/>
        <w:gridCol w:w="183"/>
        <w:gridCol w:w="183"/>
        <w:gridCol w:w="183"/>
        <w:gridCol w:w="184"/>
        <w:gridCol w:w="109"/>
        <w:gridCol w:w="1081"/>
        <w:gridCol w:w="109"/>
        <w:gridCol w:w="659"/>
        <w:gridCol w:w="527"/>
        <w:gridCol w:w="441"/>
        <w:gridCol w:w="109"/>
        <w:gridCol w:w="109"/>
        <w:gridCol w:w="109"/>
        <w:gridCol w:w="474"/>
        <w:gridCol w:w="811"/>
        <w:gridCol w:w="246"/>
        <w:gridCol w:w="245"/>
        <w:gridCol w:w="245"/>
        <w:gridCol w:w="246"/>
        <w:gridCol w:w="254"/>
        <w:gridCol w:w="995"/>
        <w:gridCol w:w="132"/>
        <w:gridCol w:w="109"/>
        <w:gridCol w:w="109"/>
        <w:gridCol w:w="109"/>
        <w:gridCol w:w="211"/>
        <w:gridCol w:w="841"/>
        <w:gridCol w:w="109"/>
        <w:gridCol w:w="109"/>
        <w:gridCol w:w="109"/>
        <w:gridCol w:w="109"/>
        <w:gridCol w:w="211"/>
        <w:gridCol w:w="361"/>
        <w:gridCol w:w="10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color w:val="000000"/>
                <w:sz w:val="16"/>
              </w:rPr>
            </w:pPr>
            <w:r>
              <w:rPr>
                <w:rFonts w:ascii="Frutiger LT 55 Roman;sans-serif" w:hAnsi="Frutiger LT 55 Roman;sans-serif"/>
                <w:b/>
                <w:color w:val="000000"/>
                <w:sz w:val="16"/>
              </w:rPr>
              <w:t>(In thousands, except for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Other Comprehensive Income (Loss)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Total Stockholders' Equity</w:t>
            </w:r>
          </w:p>
        </w:tc>
        <w:tc>
          <w:tcPr>
            <w:tcW w:w="4014" w:type="dxa"/>
            <w:gridSpan w:val="18"/>
            <w:tcBorders/>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Shares</w:t>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115,362,265 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688,726 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(509,601)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179,133 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common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10,983,477 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39,158 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39,159 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under stock plans, net of shares withheld for tax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1,195,012 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4,913 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(26,346)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127,540,754 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734,711 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(535,947)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198,796 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46387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ind w:left="0" w:right="0" w:firstLine="72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246"/>
        <w:gridCol w:w="1964"/>
        <w:gridCol w:w="1968"/>
        <w:gridCol w:w="301"/>
        <w:gridCol w:w="1135"/>
        <w:gridCol w:w="155"/>
        <w:gridCol w:w="155"/>
        <w:gridCol w:w="155"/>
        <w:gridCol w:w="155"/>
        <w:gridCol w:w="301"/>
        <w:gridCol w:w="1135"/>
        <w:gridCol w:w="155"/>
        <w:gridCol w:w="109"/>
        <w:gridCol w:w="109"/>
        <w:gridCol w:w="162"/>
      </w:tblGrid>
      <w:tr>
        <w:trPr/>
        <w:tc>
          <w:tcPr>
            <w:tcW w:w="224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March 31,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w:t>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Operating Activities</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(29,599)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Adjustments to reconcile net loss to net cash used in operating activities:</w:t>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Depreciation and amortization</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Accretion of discount on marketable securities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receivable, net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Prepaid expenses and other current assets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right-of-use assets and liabilities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assets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payable and accrued expenses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used in operating activities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(21,839)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Investing Activities</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Purchases of property and equipment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Investment in marketable securities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(18,612)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(40,132)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maturities of marketable securities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sales of property and equipment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provided by (used in) investing activities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7,362 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(15,044)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Financing Activities</w:t>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Principal payments on long-term debt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Principal payments on finance lease obligations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issuance of common stock, net</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41,689 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issuance of common stock through employee equity plans, net</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provided by financing activities</w:t>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7,556 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42,794 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increase (decrease) in cash, cash equivalents, and restricted cash</w:t>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(11,389)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cash equivalents and restricted cash - Beginning of period</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21,078 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cash equivalents, and restricted cash - End of period</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9,689 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64,125 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617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w:t>
      </w:r>
      <w:r>
        <w:rPr>
          <w:rFonts w:ascii="Frutiger LT 55 Roman;sans-serif" w:hAnsi="Frutiger LT 55 Roman;sans-serif"/>
          <w:b/>
          <w:color w:val="000000"/>
          <w:sz w:val="20"/>
        </w:rPr>
        <w:t>Organization and nature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Absci Corporation (the “Company”) is a clinical-stage biopharmaceutical company using an AI-native approach to develop differentiated antibody-based therapeutics .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was organized in the State of Oregon in August 2011 as a limited liability company and converted to a limited liability company (“LLC”) in Delaware in April 2016. In October 2020, the Company converted from a Delaware LLC to a Delaware corporation. The Company’s headquarters are located in Vancouver, Washington.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Unaudited interim financial information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prepared its interim condensed consolidated financial statements that accompany these notes in conformity with accounting principles generally accepted in the United States, consistent in all material respects with those applied in its Annual Report on Form 10-K for the year ended December 31, 2025.</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has made estimates and judgments affecting the amounts reported in its condensed consolidated financial statements and the accompanying notes. The actual results that the Company experiences may differ materially from its estimates. The interim financial information is unaudited and reflects all normal adjustments that are, in the Company’s opinion, necessary to provide a fair statement of results for the interim periods presented. This report should be read in conjunction with the consolidated financial statements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2.</w:t>
      </w:r>
      <w:r>
        <w:rPr>
          <w:rFonts w:ascii="Frutiger LT 55 Roman;sans-serif" w:hAnsi="Frutiger LT 55 Roman;sans-serif"/>
          <w:b/>
          <w:color w:val="000000"/>
          <w:sz w:val="20"/>
        </w:rPr>
        <w:t>Summary of significant accounting policies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Basis of presentation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condensed consolidated financial statements are prepared in accordance with U.S. GAAP as defined by the Financial Accounting Standards Board (“FASB”). The condensed consolidated financial statements include the Company’s wholly-owned subsidiaries and entities under its control. The Company has eliminated all intercompany transactions and accounts.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have been no material changes in the accounting policies from those disclosed in the audited consolidated financial statements and the related notes included in the Annual Report on Form 10-K for the year ended December 31, 2025, which was filed with the SEC on March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3.</w:t>
      </w:r>
      <w:r>
        <w:rPr>
          <w:rFonts w:ascii="Frutiger LT 55 Roman;sans-serif" w:hAnsi="Frutiger LT 55 Roman;sans-serif"/>
          <w:b/>
          <w:color w:val="000000"/>
          <w:sz w:val="20"/>
        </w:rPr>
        <w:t>Revenue recognition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Contract balances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Contract assets are generated when contractual billing schedules differ from revenue recognition timing and the Company records a contract asset when it has an unconditional right to consideration. As of March 31, 2026 contract assets were $0.1 million. Contract liabilities are recorded as deferred revenue when cash payments are received or due in advance of the satisfaction of performance obligations. As of March 31, 2026 and December 31, 2025, contract liabilities were $1.0 million and $1.2 million, respectively. During the three months ended March 31, 2026, the Company recognized $0.2 million as revenue that had been included in deferred revenue at the beginning of the period. During the three months ended March 31, 2025, the Company recognized $0.4 million, as revenue that had been included in deferred revenue at the beginning of the period. The Company expects the remaining contract liabilities to be recognized as revenue between one to two years.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Concentration of risk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During the three months ended March 31, 2026, two partners represented 100% of total partner program revenue. During the three months ended March 31, 2025, two partners represented approximately 95% of total partner program revenue. For the three months ended March 31, 2026 and 2025, substantially all partner program revenue was attributable to foreign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4.</w:t>
      </w:r>
      <w:r>
        <w:rPr>
          <w:rFonts w:ascii="Frutiger LT 55 Roman;sans-serif" w:hAnsi="Frutiger LT 55 Roman;sans-serif"/>
          <w:b/>
          <w:color w:val="000000"/>
          <w:sz w:val="20"/>
        </w:rPr>
        <w:t>Investments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Cash equivalents and marketable securities are classified as available-for-sale and are recorded at fair value on the condensed consolidated balance sheets, with any unrealized gains and losses reported in accumulated other comprehensive loss, which is reflected as a separate component of stockholders’ equity on the Company’s condensed consolidated balance sheets, until realized. The Company considers all highly liquid investments with an original maturity of three months or less to be cash equivalents. The Company considers all marketable securities to be current assets as they are available for use in current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amortized cost and fair value of investments are as follows (in thousands):</w:t>
      </w:r>
    </w:p>
    <w:tbl>
      <w:tblPr>
        <w:tblW w:w="10205" w:type="dxa"/>
        <w:jc w:val="left"/>
        <w:tblInd w:w="0" w:type="dxa"/>
        <w:tblLayout w:type="fixed"/>
        <w:tblCellMar>
          <w:top w:w="28" w:type="dxa"/>
          <w:left w:w="28" w:type="dxa"/>
          <w:bottom w:w="28" w:type="dxa"/>
          <w:right w:w="28" w:type="dxa"/>
        </w:tblCellMar>
      </w:tblPr>
      <w:tblGrid>
        <w:gridCol w:w="710"/>
        <w:gridCol w:w="525"/>
        <w:gridCol w:w="529"/>
        <w:gridCol w:w="269"/>
        <w:gridCol w:w="1130"/>
        <w:gridCol w:w="130"/>
        <w:gridCol w:w="109"/>
        <w:gridCol w:w="109"/>
        <w:gridCol w:w="109"/>
        <w:gridCol w:w="626"/>
        <w:gridCol w:w="1127"/>
        <w:gridCol w:w="305"/>
        <w:gridCol w:w="109"/>
        <w:gridCol w:w="109"/>
        <w:gridCol w:w="109"/>
        <w:gridCol w:w="627"/>
        <w:gridCol w:w="1170"/>
        <w:gridCol w:w="304"/>
        <w:gridCol w:w="109"/>
        <w:gridCol w:w="109"/>
        <w:gridCol w:w="109"/>
        <w:gridCol w:w="300"/>
        <w:gridCol w:w="1258"/>
        <w:gridCol w:w="214"/>
      </w:tblGrid>
      <w:tr>
        <w:trPr/>
        <w:tc>
          <w:tcPr>
            <w:tcW w:w="7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March 31, 2026</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Fair market value</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5,682 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117,093 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117,078 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122,775 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51 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(66)</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122,760 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Classified as:</w:t>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Cash equivalents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5,682 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Marketable securities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117,078 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122,760 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525"/>
        <w:gridCol w:w="529"/>
        <w:gridCol w:w="269"/>
        <w:gridCol w:w="1130"/>
        <w:gridCol w:w="130"/>
        <w:gridCol w:w="109"/>
        <w:gridCol w:w="109"/>
        <w:gridCol w:w="109"/>
        <w:gridCol w:w="540"/>
        <w:gridCol w:w="1258"/>
        <w:gridCol w:w="262"/>
        <w:gridCol w:w="109"/>
        <w:gridCol w:w="109"/>
        <w:gridCol w:w="109"/>
        <w:gridCol w:w="640"/>
        <w:gridCol w:w="1151"/>
        <w:gridCol w:w="311"/>
        <w:gridCol w:w="109"/>
        <w:gridCol w:w="109"/>
        <w:gridCol w:w="109"/>
        <w:gridCol w:w="300"/>
        <w:gridCol w:w="1258"/>
        <w:gridCol w:w="211"/>
      </w:tblGrid>
      <w:tr>
        <w:trPr/>
        <w:tc>
          <w:tcPr>
            <w:tcW w:w="7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 2025</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Fair market value</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124,059 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138,469 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Classified as:</w:t>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Cash equivalents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Marketable securities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March 31, 2026, the Company held $4.8 million of marketable securities with a remaining maturity of greater than one year. There were no realized gains or losses on securities for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5.</w:t>
      </w:r>
      <w:r>
        <w:rPr>
          <w:rFonts w:ascii="Frutiger LT 55 Roman;sans-serif" w:hAnsi="Frutiger LT 55 Roman;sans-serif"/>
          <w:b/>
          <w:color w:val="000000"/>
          <w:sz w:val="20"/>
        </w:rPr>
        <w:t>Fair value measurements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Financial Accounting Standards Board (“FASB”) has defined fair value to establish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Level 1: Observable inputs such as quoted prices in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Level 2: Inputs, other than the quoted prices in active markets, that are observable either directly or indirectly.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Level 3: Unobservable inputs in which there is little or no market data, which require the reporting entity to develop its own assumptions.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When quoted market prices are available in active markets, the fair value of assets and liabilities is estimated within Level 1 of the valuation hierarchy.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tables summarize the Company’s assets and liabilities measured at fair value on a recurring basis as of March 31, 2026 and December 31, 2025 (in thousands):</w:t>
      </w:r>
    </w:p>
    <w:tbl>
      <w:tblPr>
        <w:tblW w:w="7552" w:type="dxa"/>
        <w:jc w:val="left"/>
        <w:tblInd w:w="0" w:type="dxa"/>
        <w:tblLayout w:type="fixed"/>
        <w:tblCellMar>
          <w:top w:w="28" w:type="dxa"/>
          <w:left w:w="28" w:type="dxa"/>
          <w:bottom w:w="28" w:type="dxa"/>
          <w:right w:w="28" w:type="dxa"/>
        </w:tblCellMar>
      </w:tblPr>
      <w:tblGrid>
        <w:gridCol w:w="716"/>
        <w:gridCol w:w="627"/>
        <w:gridCol w:w="636"/>
        <w:gridCol w:w="226"/>
        <w:gridCol w:w="826"/>
        <w:gridCol w:w="109"/>
        <w:gridCol w:w="109"/>
        <w:gridCol w:w="109"/>
        <w:gridCol w:w="109"/>
        <w:gridCol w:w="226"/>
        <w:gridCol w:w="946"/>
        <w:gridCol w:w="109"/>
        <w:gridCol w:w="109"/>
        <w:gridCol w:w="109"/>
        <w:gridCol w:w="109"/>
        <w:gridCol w:w="251"/>
        <w:gridCol w:w="452"/>
        <w:gridCol w:w="121"/>
        <w:gridCol w:w="109"/>
        <w:gridCol w:w="109"/>
        <w:gridCol w:w="109"/>
        <w:gridCol w:w="226"/>
        <w:gridCol w:w="94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3"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March 31, 2026</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Total</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i/>
                <w:color w:val="000000"/>
                <w:sz w:val="18"/>
              </w:rPr>
            </w:pPr>
            <w:r>
              <w:rPr>
                <w:rFonts w:ascii="Frutiger LT 55 Roman;sans-serif" w:hAnsi="Frutiger LT 55 Roman;sans-serif"/>
                <w:b w:val="false"/>
                <w:i/>
                <w:color w:val="000000"/>
                <w:sz w:val="18"/>
              </w:rPr>
              <w:t>Debt Securities: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tbl>
      <w:tblPr>
        <w:tblW w:w="7552" w:type="dxa"/>
        <w:jc w:val="left"/>
        <w:tblInd w:w="0" w:type="dxa"/>
        <w:tblLayout w:type="fixed"/>
        <w:tblCellMar>
          <w:top w:w="28" w:type="dxa"/>
          <w:left w:w="28" w:type="dxa"/>
          <w:bottom w:w="28" w:type="dxa"/>
          <w:right w:w="28" w:type="dxa"/>
        </w:tblCellMar>
      </w:tblPr>
      <w:tblGrid>
        <w:gridCol w:w="716"/>
        <w:gridCol w:w="627"/>
        <w:gridCol w:w="636"/>
        <w:gridCol w:w="226"/>
        <w:gridCol w:w="826"/>
        <w:gridCol w:w="109"/>
        <w:gridCol w:w="109"/>
        <w:gridCol w:w="109"/>
        <w:gridCol w:w="109"/>
        <w:gridCol w:w="226"/>
        <w:gridCol w:w="946"/>
        <w:gridCol w:w="109"/>
        <w:gridCol w:w="109"/>
        <w:gridCol w:w="109"/>
        <w:gridCol w:w="109"/>
        <w:gridCol w:w="251"/>
        <w:gridCol w:w="452"/>
        <w:gridCol w:w="121"/>
        <w:gridCol w:w="109"/>
        <w:gridCol w:w="109"/>
        <w:gridCol w:w="109"/>
        <w:gridCol w:w="226"/>
        <w:gridCol w:w="94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3"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 2025</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Total</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i/>
                <w:color w:val="000000"/>
                <w:sz w:val="18"/>
              </w:rPr>
            </w:pPr>
            <w:r>
              <w:rPr>
                <w:rFonts w:ascii="Frutiger LT 55 Roman;sans-serif" w:hAnsi="Frutiger LT 55 Roman;sans-serif"/>
                <w:b w:val="false"/>
                <w:i/>
                <w:color w:val="000000"/>
                <w:sz w:val="18"/>
              </w:rPr>
              <w:t>Debt Securities: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6.</w:t>
      </w:r>
      <w:r>
        <w:rPr>
          <w:rFonts w:ascii="Frutiger LT 55 Roman;sans-serif" w:hAnsi="Frutiger LT 55 Roman;sans-serif"/>
          <w:b/>
          <w:color w:val="000000"/>
          <w:sz w:val="20"/>
        </w:rPr>
        <w:t>Accounts payable and accrued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Total accounts payable and accrued expenses reported on the condensed consolidated balance sheets as follows (in thousands):</w:t>
      </w:r>
    </w:p>
    <w:tbl>
      <w:tblPr>
        <w:tblW w:w="8310" w:type="dxa"/>
        <w:jc w:val="left"/>
        <w:tblInd w:w="0" w:type="dxa"/>
        <w:tblLayout w:type="fixed"/>
        <w:tblCellMar>
          <w:top w:w="28" w:type="dxa"/>
          <w:left w:w="28" w:type="dxa"/>
          <w:bottom w:w="28" w:type="dxa"/>
          <w:right w:w="28" w:type="dxa"/>
        </w:tblCellMar>
      </w:tblPr>
      <w:tblGrid>
        <w:gridCol w:w="1837"/>
        <w:gridCol w:w="1614"/>
        <w:gridCol w:w="1619"/>
        <w:gridCol w:w="109"/>
        <w:gridCol w:w="109"/>
        <w:gridCol w:w="109"/>
        <w:gridCol w:w="226"/>
        <w:gridCol w:w="826"/>
        <w:gridCol w:w="109"/>
        <w:gridCol w:w="109"/>
        <w:gridCol w:w="109"/>
        <w:gridCol w:w="109"/>
        <w:gridCol w:w="267"/>
        <w:gridCol w:w="976"/>
        <w:gridCol w:w="182"/>
      </w:tblGrid>
      <w:tr>
        <w:trPr/>
        <w:tc>
          <w:tcPr>
            <w:tcW w:w="183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2,756 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6,615 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preclinical and clinical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17,310 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19,348 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7.</w:t>
      </w:r>
      <w:r>
        <w:rPr>
          <w:rFonts w:ascii="Frutiger LT 55 Roman;sans-serif" w:hAnsi="Frutiger LT 55 Roman;sans-serif"/>
          <w:b/>
          <w:color w:val="000000"/>
          <w:sz w:val="20"/>
        </w:rPr>
        <w:t>Common stock</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At-the-market offering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August 2025, the Company entered into a Sales Agreement with TD Securities (USA) LLC, as Sales Agent (the “Sales Agreement”), with respect to an “at the market offering” program under which the Company may offer and sell, from time to time, shares of its common stock having an aggregate offering price of up to $100.0 million through the Sales Agent. The Company has agreed to pay the Sales Agent a commission of up to 3.0% of the gross proceeds of any shares sold under the Sales Agreement. Upon execution, the Sales Agreement terminated and superseded the prior sales agreement entered into in June 2023 in its entirety. During the three months ended March 31, 2026, the Company issued and sold 2,871,218 shares and received $8.0 million in net proceeds from the sale of securities pursuant to the Sales Agreement.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Private investment in public equity</w:t>
      </w:r>
    </w:p>
    <w:p>
      <w:pPr>
        <w:pStyle w:val="TextBody"/>
        <w:bidi w:val="0"/>
        <w:spacing w:lineRule="auto" w:line="268" w:before="0" w:after="0"/>
        <w:jc w:val="left"/>
        <w:rPr/>
      </w:pPr>
      <w:r>
        <w:rPr>
          <w:rFonts w:ascii="Frutiger LT 55 Roman;sans-serif" w:hAnsi="Frutiger LT 55 Roman;sans-serif"/>
          <w:b w:val="false"/>
          <w:color w:val="000000"/>
          <w:sz w:val="20"/>
        </w:rPr>
        <w:t>In January 2025, the Company entered into a strategic collaboration with Advanced Micro Devices, Inc. (AMD) and sold an aggregate of 5,714,285 shares of the Company’s common stock to AMD for net proceeds of $20.0 million through a private investment in public equity (PIPE). This strategic collaboration with AMD has a goal to optimize the performance of AMD Instinct</w:t>
      </w:r>
      <w:r>
        <w:rPr>
          <w:rFonts w:ascii="Frutiger LT 55 Roman;sans-serif" w:hAnsi="Frutiger LT 55 Roman;sans-serif"/>
          <w:b w:val="false"/>
          <w:color w:val="000000"/>
          <w:sz w:val="10"/>
        </w:rPr>
        <w:t>TM</w:t>
      </w:r>
      <w:r>
        <w:rPr>
          <w:color w:val="000000"/>
        </w:rPr>
        <w:t xml:space="preserve"> </w:t>
      </w:r>
      <w:r>
        <w:rPr>
          <w:rFonts w:ascii="Frutiger LT 55 Roman;sans-serif" w:hAnsi="Frutiger LT 55 Roman;sans-serif"/>
          <w:b w:val="false"/>
          <w:color w:val="000000"/>
          <w:sz w:val="20"/>
        </w:rPr>
        <w:t>accelerators and ROCm</w:t>
      </w:r>
      <w:r>
        <w:rPr>
          <w:rFonts w:ascii="Frutiger LT 55 Roman;sans-serif" w:hAnsi="Frutiger LT 55 Roman;sans-serif"/>
          <w:b w:val="false"/>
          <w:color w:val="000000"/>
          <w:sz w:val="10"/>
        </w:rPr>
        <w:t xml:space="preserve">TM </w:t>
      </w:r>
      <w:r>
        <w:rPr>
          <w:rFonts w:ascii="Frutiger LT 55 Roman;sans-serif" w:hAnsi="Frutiger LT 55 Roman;sans-serif"/>
          <w:b w:val="false"/>
          <w:color w:val="000000"/>
          <w:sz w:val="20"/>
        </w:rPr>
        <w:t xml:space="preserve">software to support the Company’s AI drug creation, including its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antibody design models. The issuance of stock to AMD was at a premium of approximately $2.5 million over the market price on the issuance date. The premium was recorded to accrued expenses and other long-term liabilities on the condensed consolidated balance sheet and will be recognized as a credit to research and development expense over the collaboration term. The amortization of the premium was $0.2 million for the three months ended March 31, 2026.</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8.</w:t>
      </w:r>
      <w:r>
        <w:rPr>
          <w:rFonts w:ascii="Frutiger LT 55 Roman;sans-serif" w:hAnsi="Frutiger LT 55 Roman;sans-serif"/>
          <w:b/>
          <w:color w:val="000000"/>
          <w:sz w:val="20"/>
        </w:rPr>
        <w:t>Stock-based compensation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grants stock options, restricted stock units, and stock appreciation rights (“SARs”) under the 2021 Stock Option and Incentive Plan (“2021 Plan”) and the 2023 Inducement Plan (the “2023 Inducement Plan”). On January 1, 2026, the number of shares of common stock reserved for future issuance under the 2021 Plan was increased by 7,575,754 shares pursuant to an automatic annual increase. As of March 31, 2026, 7,681,193 shares were available for issuance under the 2021 Plan. As of March 31, 2026, 1,074,200 shares were available for issuance under the 2023 Inducement Plan.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Total stock-based compensation expense related to the Company’s stock-based awards was recorded in the condensed consolidated statements of operations and comprehensive loss as follows (in thousands):</w:t>
      </w:r>
    </w:p>
    <w:tbl>
      <w:tblPr>
        <w:tblW w:w="10205" w:type="dxa"/>
        <w:jc w:val="left"/>
        <w:tblInd w:w="0" w:type="dxa"/>
        <w:tblLayout w:type="fixed"/>
        <w:tblCellMar>
          <w:top w:w="28" w:type="dxa"/>
          <w:left w:w="28" w:type="dxa"/>
          <w:bottom w:w="28" w:type="dxa"/>
          <w:right w:w="28" w:type="dxa"/>
        </w:tblCellMar>
      </w:tblPr>
      <w:tblGrid>
        <w:gridCol w:w="1272"/>
        <w:gridCol w:w="1104"/>
        <w:gridCol w:w="1108"/>
        <w:gridCol w:w="109"/>
        <w:gridCol w:w="109"/>
        <w:gridCol w:w="109"/>
        <w:gridCol w:w="109"/>
        <w:gridCol w:w="109"/>
        <w:gridCol w:w="1202"/>
        <w:gridCol w:w="1202"/>
        <w:gridCol w:w="1205"/>
        <w:gridCol w:w="109"/>
        <w:gridCol w:w="226"/>
        <w:gridCol w:w="706"/>
        <w:gridCol w:w="109"/>
        <w:gridCol w:w="109"/>
        <w:gridCol w:w="109"/>
        <w:gridCol w:w="109"/>
        <w:gridCol w:w="226"/>
        <w:gridCol w:w="706"/>
        <w:gridCol w:w="158"/>
      </w:tblGrid>
      <w:tr>
        <w:trPr/>
        <w:tc>
          <w:tcPr>
            <w:tcW w:w="127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For the Three Months Ended March 31,</w:t>
            </w:r>
          </w:p>
        </w:tc>
        <w:tc>
          <w:tcPr>
            <w:tcW w:w="2567" w:type="dxa"/>
            <w:gridSpan w:val="10"/>
            <w:tcBorders/>
          </w:tcPr>
          <w:p>
            <w:pPr>
              <w:pStyle w:val="TableContents"/>
              <w:bidi w:val="0"/>
              <w:spacing w:before="0" w:after="283"/>
              <w:jc w:val="left"/>
              <w:rPr>
                <w:sz w:val="4"/>
                <w:szCs w:val="4"/>
              </w:rPr>
            </w:pPr>
            <w:r>
              <w:rPr>
                <w:sz w:val="4"/>
                <w:szCs w:val="4"/>
              </w:rPr>
            </w:r>
          </w:p>
        </w:tc>
      </w:tr>
      <w:tr>
        <w:trPr/>
        <w:tc>
          <w:tcPr>
            <w:tcW w:w="3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2025</w:t>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4,943 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Stock Options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Stock options generally vest 25% after one year from the date of the grant with the remainder vesting monthly over the following three-year period or ratably over three years in three equal installments. The Company recognizes forfeitures as they occur and uses the straight-line expense recognition method. Activity for stock options is shown below:</w:t>
      </w:r>
    </w:p>
    <w:tbl>
      <w:tblPr>
        <w:tblW w:w="10205" w:type="dxa"/>
        <w:jc w:val="left"/>
        <w:tblInd w:w="0" w:type="dxa"/>
        <w:tblLayout w:type="fixed"/>
        <w:tblCellMar>
          <w:top w:w="28" w:type="dxa"/>
          <w:left w:w="28" w:type="dxa"/>
          <w:bottom w:w="28" w:type="dxa"/>
          <w:right w:w="28" w:type="dxa"/>
        </w:tblCellMar>
      </w:tblPr>
      <w:tblGrid>
        <w:gridCol w:w="620"/>
        <w:gridCol w:w="546"/>
        <w:gridCol w:w="547"/>
        <w:gridCol w:w="679"/>
        <w:gridCol w:w="591"/>
        <w:gridCol w:w="392"/>
        <w:gridCol w:w="109"/>
        <w:gridCol w:w="109"/>
        <w:gridCol w:w="109"/>
        <w:gridCol w:w="452"/>
        <w:gridCol w:w="1177"/>
        <w:gridCol w:w="221"/>
        <w:gridCol w:w="109"/>
        <w:gridCol w:w="109"/>
        <w:gridCol w:w="109"/>
        <w:gridCol w:w="780"/>
        <w:gridCol w:w="780"/>
        <w:gridCol w:w="781"/>
        <w:gridCol w:w="109"/>
        <w:gridCol w:w="109"/>
        <w:gridCol w:w="109"/>
        <w:gridCol w:w="343"/>
        <w:gridCol w:w="1074"/>
        <w:gridCol w:w="241"/>
      </w:tblGrid>
      <w:tr>
        <w:trPr/>
        <w:tc>
          <w:tcPr>
            <w:tcW w:w="6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Number of Options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Weighted Average Remaining Contractual Term (in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 xml:space="preserve">Aggregate Intrinsic Value (in </w:t>
              <w:br/>
              <w:t>thousands $)</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Outstanding at December 31, 2025</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20,716,511 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3.27 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Granted</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5,751,500 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Exercised</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(606,392)</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782</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Canceled/Forfeited</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(413,348)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Expired</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(47,227)</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Outstanding at March 31, 2026</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25,401,044 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8,949 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Exercisable at March 31, 2026</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12,047,592 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5,715 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March 31, 2026, total unrecognized stock-based compensation related to stock options was $27.0 million, which the Company expects to recognize over a remaining weighted average period of 2.3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Restricted stock units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Restricted stock units subject to time-based vesting generally vest over a term of 1-4 years. The Company recognizes forfeitures as they occur and uses the straight-line expense recognition method. Activity for restricted stock units is shown below:</w:t>
      </w:r>
    </w:p>
    <w:tbl>
      <w:tblPr>
        <w:tblW w:w="9340" w:type="dxa"/>
        <w:jc w:val="left"/>
        <w:tblInd w:w="0" w:type="dxa"/>
        <w:tblLayout w:type="fixed"/>
        <w:tblCellMar>
          <w:top w:w="28" w:type="dxa"/>
          <w:left w:w="28" w:type="dxa"/>
          <w:bottom w:w="28" w:type="dxa"/>
          <w:right w:w="28" w:type="dxa"/>
        </w:tblCellMar>
      </w:tblPr>
      <w:tblGrid>
        <w:gridCol w:w="1212"/>
        <w:gridCol w:w="1063"/>
        <w:gridCol w:w="1069"/>
        <w:gridCol w:w="589"/>
        <w:gridCol w:w="589"/>
        <w:gridCol w:w="591"/>
        <w:gridCol w:w="109"/>
        <w:gridCol w:w="109"/>
        <w:gridCol w:w="109"/>
        <w:gridCol w:w="911"/>
        <w:gridCol w:w="2364"/>
        <w:gridCol w:w="625"/>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Number of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Weighted Average Grant Date Fair Value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Unvested as of December 31, 2025</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3,789,634 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3.32 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Granted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2,067,900 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2.81 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Vested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(597,840)</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3.65 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Forfeitures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(245,144)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3.07 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Unvested as of March 31, 2026</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5,014,550 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3.08 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March 31, 2026, there was $8.9 million of unrecognized compensation expense related to the outstanding restricted stock units expected to be recognized over a remaining weighted-average period of 2.4 years.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Restricted stock unit award with market conditions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March 2024, the Company granted 1,500,000 performance restricted stock units to its Founder and Chief Executive Officer that contained market conditions (the “2024 Market Award”). Subject to the holder’s continued service, the 2024 Market Award provided for vesting in tranches once the Company’s closing stock price meets or exceeds certain thresholds established by the Company’s Compensation Committee of the Board of Directors. The original grant-date fair value of the 2024 Market Award of $5.5 million was determined using a Monte Carlo simulation model using an expected volatility of 97% and risk-free rate of 4.5%. The stock-based compensation expense was recognized over the derived service period for each tranche over periods up to 1.3 years. As of March 31, 2026, none of the stock price thresholds for the 2024 Market Award had been met resulting in no shares vesting. Any unvested tranches of the 2024 Market Award will expire in March 2027 if the vesting conditions are not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9.</w:t>
      </w:r>
      <w:r>
        <w:rPr>
          <w:rFonts w:ascii="Frutiger LT 55 Roman;sans-serif" w:hAnsi="Frutiger LT 55 Roman;sans-serif"/>
          <w:b/>
          <w:color w:val="000000"/>
          <w:sz w:val="20"/>
        </w:rPr>
        <w:t>Net loss per share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Basic net loss per share is computed by dividing net loss by the weighted-average number of shares of common stock outstanding during the period.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common stock issuable upon the conversion or exercise of the following dilutive securities has been excluded from the diluted net loss per share calculation because their effect would have been anti-dilutive. Diluted net loss per share, therefore, does not differ from basic net loss per share for the periods presented.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potentially dilutive securities, presented based on amounts outstanding at period end, were excluded from the calculation of diluted net loss per share attributable to common stockholders because including them would be anti-dilutive:</w:t>
      </w:r>
    </w:p>
    <w:tbl>
      <w:tblPr>
        <w:tblW w:w="8230" w:type="dxa"/>
        <w:jc w:val="left"/>
        <w:tblInd w:w="0" w:type="dxa"/>
        <w:tblLayout w:type="fixed"/>
        <w:tblCellMar>
          <w:top w:w="28" w:type="dxa"/>
          <w:left w:w="28" w:type="dxa"/>
          <w:bottom w:w="28" w:type="dxa"/>
          <w:right w:w="28" w:type="dxa"/>
        </w:tblCellMar>
      </w:tblPr>
      <w:tblGrid>
        <w:gridCol w:w="756"/>
        <w:gridCol w:w="661"/>
        <w:gridCol w:w="668"/>
        <w:gridCol w:w="109"/>
        <w:gridCol w:w="109"/>
        <w:gridCol w:w="109"/>
        <w:gridCol w:w="109"/>
        <w:gridCol w:w="109"/>
        <w:gridCol w:w="752"/>
        <w:gridCol w:w="752"/>
        <w:gridCol w:w="752"/>
        <w:gridCol w:w="752"/>
        <w:gridCol w:w="756"/>
        <w:gridCol w:w="109"/>
        <w:gridCol w:w="109"/>
        <w:gridCol w:w="109"/>
        <w:gridCol w:w="623"/>
        <w:gridCol w:w="623"/>
        <w:gridCol w:w="263"/>
      </w:tblGrid>
      <w:tr>
        <w:trPr/>
        <w:tc>
          <w:tcPr>
            <w:tcW w:w="7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4"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March 31,</w:t>
            </w:r>
          </w:p>
        </w:tc>
        <w:tc>
          <w:tcPr>
            <w:tcW w:w="1836" w:type="dxa"/>
            <w:gridSpan w:val="6"/>
            <w:tcBorders/>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25,401,044 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21,758,054 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5,014,550 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4,384,844 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30,415,594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26,142,898</w:t>
            </w:r>
          </w:p>
        </w:tc>
      </w:tr>
      <w:tr>
        <w:trPr/>
        <w:tc>
          <w:tcPr>
            <w:tcW w:w="20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10.</w:t>
      </w:r>
      <w:r>
        <w:rPr>
          <w:rFonts w:ascii="Frutiger LT 55 Roman;sans-serif" w:hAnsi="Frutiger LT 55 Roman;sans-serif"/>
          <w:b/>
          <w:color w:val="000000"/>
          <w:sz w:val="20"/>
        </w:rPr>
        <w:t>Segment reporting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has one reportable segment.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Company’s Chief Operating Decision Maker (the “CODM”), its Chief Executive Officer, manages the Company’s operations on a consolidated basis for the purposes of allocating resources, making operating decisions and evaluating performance. When evaluating the Company’s financial performance, the CODM regularly reviews total expenses by expense category and the CODM makes decisions using this information on a consolidated basis. There are no other measures of profitability used by the CODM, other than those disclosed in these condensed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table below is a summary of the significant segment expenses (in thousands) provided to the Company’s CODM on a regular basis:</w:t>
      </w:r>
    </w:p>
    <w:tbl>
      <w:tblPr>
        <w:tblW w:w="9391" w:type="dxa"/>
        <w:jc w:val="left"/>
        <w:tblInd w:w="0" w:type="dxa"/>
        <w:tblLayout w:type="fixed"/>
        <w:tblCellMar>
          <w:top w:w="28" w:type="dxa"/>
          <w:left w:w="28" w:type="dxa"/>
          <w:bottom w:w="28" w:type="dxa"/>
          <w:right w:w="28" w:type="dxa"/>
        </w:tblCellMar>
      </w:tblPr>
      <w:tblGrid>
        <w:gridCol w:w="1592"/>
        <w:gridCol w:w="1397"/>
        <w:gridCol w:w="1405"/>
        <w:gridCol w:w="109"/>
        <w:gridCol w:w="109"/>
        <w:gridCol w:w="109"/>
        <w:gridCol w:w="109"/>
        <w:gridCol w:w="239"/>
        <w:gridCol w:w="239"/>
        <w:gridCol w:w="496"/>
        <w:gridCol w:w="1815"/>
        <w:gridCol w:w="239"/>
        <w:gridCol w:w="109"/>
        <w:gridCol w:w="109"/>
        <w:gridCol w:w="109"/>
        <w:gridCol w:w="226"/>
        <w:gridCol w:w="826"/>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5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8"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Three Months Ended 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Drug creation programs and platform </w:t>
            </w:r>
            <w:r>
              <w:rPr>
                <w:rFonts w:ascii="Frutiger LT 55 Roman;sans-serif" w:hAnsi="Frutiger LT 55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6,083 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3,992 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External preclinical and clinical development </w:t>
            </w:r>
            <w:r>
              <w:rPr>
                <w:rFonts w:ascii="Frutiger LT 55 Roman;sans-serif" w:hAnsi="Frutiger LT 55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4,287 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Personnel </w:t>
            </w:r>
            <w:r>
              <w:rPr>
                <w:rFonts w:ascii="Frutiger LT 55 Roman;sans-serif" w:hAnsi="Frutiger LT 55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9,246 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4,380 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General &amp;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4,334 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2,728 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Other (gain)/loss, net </w:t>
            </w:r>
            <w:r>
              <w:rPr>
                <w:rFonts w:ascii="Frutiger LT 55 Roman;sans-serif" w:hAnsi="Frutiger LT 55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31,061 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55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(1) “Drug creation programs and platform” consists of research and development costs incurred related to the Company’s internally developed programs and drug creation partnership programs for activities prior to the nomination of a development candidate and the continued development of the Company’s Integrated Drug Creation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(2) “External preclinical and clinical development” expense consists of external costs incurred following the Company’s nomination of a development candidate, including all subsequent contract research services, contract manufacturing, consulting fees, and other external costs related to preclinical and clinical development.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(3) “Personnel” expense consists of all employee wages, taxes, benefits, severance, other employee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93c3386546e48e080a4f83a97afa1a3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(4) “Other (gain)/loss, net” consists of non-routine gains and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 clinical-stage biopharmaceutical company using an AI-native approach to develop differentiated antibody therapeutics. Our integrated drug creation platform combines Origin-1, our generative design model, with rapid validation using our lab-in-the-loop. We focus on underexplored mechanisms where unmet medical need is high and competition is low.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advanced our first two programs from AI design to IND (or foreign equivalent) in around 2 years with a total investment of approximately $15 million per program, compared to an industry average of 4–6 years at a cost of greater than $50 million. This combination of underexplored target selection and capital-efficient execution is central to our strategy.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lead product candidate, ABS-201, is an anti-prolactin receptor (PRLR) antibody engineered with an extended half-life to support a patient-friendly dosing interval. We believe PRLR is an underexplored target with the potential to provide durable, disease-modifying effects. If successfully developed, ABS-201 could establish a new treatment category in indications where current options remain inadequate. ABS-201 is being developed for two indications, androgenetic alopecia (AGA) or pattern hair loss (PHL) and endometriosis, each with large affected populations and significant unmet need.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Pipeline Programs</w:t>
      </w:r>
    </w:p>
    <w:p>
      <w:pPr>
        <w:pStyle w:val="TextBody"/>
        <w:bidi w:val="0"/>
        <w:spacing w:lineRule="auto" w:line="288" w:before="0" w:after="160"/>
        <w:jc w:val="left"/>
        <w:rPr/>
      </w:pPr>
      <w:r>
        <w:rPr>
          <w:rFonts w:ascii="Frutiger LT 55 Roman;sans-serif" w:hAnsi="Frutiger LT 55 Roman;sans-serif"/>
          <w:b w:val="false"/>
          <w:color w:val="000000"/>
          <w:sz w:val="20"/>
        </w:rPr>
        <w:t xml:space="preserve">Our pipeline is composed of programs which leverage our differentiated capabilities in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design, multi-parametric lead optimization, and reverse immunology. These programs have been designed to address areas with significant unmet medical needs with potential ‘first-in-class’, ‘best-in-class’, or ‘disease modifying’ profiles.</w:t>
      </w:r>
    </w:p>
    <w:p>
      <w:pPr>
        <w:pStyle w:val="TextBody"/>
        <w:bidi w:val="0"/>
        <w:spacing w:before="0" w:after="160"/>
        <w:jc w:val="left"/>
        <w:rPr/>
      </w:pPr>
      <w:r>
        <w:rPr/>
        <w:drawing>
          <wp:inline distT="0" distB="0" distL="0" distR="0">
            <wp:extent cx="6515100" cy="2276475"/>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6515100" cy="2276475"/>
                    </a:xfrm>
                    <a:prstGeom prst="rect">
                      <a:avLst/>
                    </a:prstGeom>
                  </pic:spPr>
                </pic:pic>
              </a:graphicData>
            </a:graphic>
          </wp:inline>
        </w:drawing>
      </w:r>
      <w:bookmarkStart w:id="0" w:name="i-1"/>
      <w:bookmarkEnd w:id="0"/>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ABS-201 for the Treatment of AGA</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ABS-201 is being evaluated in the HEADLINE™ Phase 1/2a clinical trial (NCT07317544) for AGA, a condition affecting approximately 80 million people in the United States. Our own patient and clinician surveys, as well as those of other parties, show broad dissatisfaction with current standard of care, which is limited by variable efficacy, poor compliance, and a lack of durable approaches. No approved therapy provides durable hair regrowth. This trial is designed to evaluate the safety, tolerability and preliminary efficacy of ABS-201 in healthy volunteers with and without AGA. The trial is a randomized, double-blind, placebo-controlled study expected to enroll up to 227 male and female healthy volunteers at multiple sites in Australia.</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May 7, 2026, we have dosed all four planned healthy volunteer single ascending dose (SAD) cohorts with a favorable safety profile to date, and we have initiated dosing of the first multiple ascending dose (MAD) cohort of AGA participants. We currently expect to initiate two additional MAD cohorts in the second quarter of 2026, each planned to enroll approximately 49 healthy volunteers with AGA. Interim proof-of-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concept data, including data on exploratory efficacy endpoints, are expected in the second half of 2026 and full proof-of-concept data in early 2027. </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ABS-201 for the Treatment of Endometriosis </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Published literature suggests that PRL and PRLR may play a role in the development of endometrial lesions and associated pain in patients with endometriosis. As such, inhibition of PRLR signaling may influence pathways associated with lesion development and pain perception. As a result, ABS-201 may have the potential to affect both lesion growth and pain-related pathways. We intend to evaluate, and if possible, rely on the data generated from the HEADLINE trial, together with other available information, as part of our assessment of potential next steps for the ABS-201 program. We believe that this study will provide supporting first-in-human safety, tolerability, and PK data to support a Phase 2 clinical trial evaluating ABS-201 in patients with endometriosis. Based on these and other considerations, we anticipate initiating a Phase 2 clinical trial evaluating ABS-201 in endometriosis in the fourth quarter of 2026, subject to review of available data, regulatory considerations and other factors, with potential proof-of-concept data in the second half of 2027.</w: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ABS-202</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ABS-202 is a second novel anti-PRLR antibody program, designed using our generative AI platform, currently in preclinical development as a potential treatment for an undisclosed immunology and inflammation indication.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Preclinical Stage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advancing early-stage oncology and immunology and inflammation programs. We continue to use our platform to develop additional early-stage programs addressing challenging targets in various indications with areas of significant unmet medical need. We plan to provide more information about these additional programs selectively and to seek partnerships or out-licenses for select programs as they advance.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Financial results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Revenue was $0.2 million for the three months ended March 31, 2026 compared to $1.2 million for the three months ended March 31, 2025. The decrease in revenue is due to the number of ongoing partnered programs and respective timing of project-based milestones achieved. We incurred a net loss of $29.6 million for the three months ended March 31, 2026 compared to a net loss of $26.3 million for the three months ended March 31, 2025. Research and development expenses increased by $2.9 million, or 18%, for the three months ended March 31, 2026 compared to the three months ended March 31, 2025.</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March 31, 2026, we had an accumulated deficit of $654.4 million and cash equivalents and marketable securities totaling $125.7 million.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expect to continue to incur significant expenses in connection with our ongoing activities, including as we: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develop ABS-201 and other internally developed programs across diverse indications, including the advancement of these product candidates through preclinical and clinical development;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engage in discovery, research and development efforts and scale our activities through our existing and potential new partnerships;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develop, acquire, in-license or otherwise obtain technologies that enable us to expand our Integrated Drug Creation platform capabilities;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attract, retain and motivate highly qualified personnel to join Absci in our mission.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corporate headquarters and primary research and development facilities are located in Vancouver, Washington in a 77,974 square foot facility that includes general administrative office space and laboratory space. Our AI Research Lab is located in New York, New York and our Innovation Center is located in Zug, Switzerland. Additionally, we have a research and development presence in Belgrade, Serbia.</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AMD strategic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pPr>
      <w:r>
        <w:rPr>
          <w:rFonts w:ascii="Frutiger LT 55 Roman;sans-serif" w:hAnsi="Frutiger LT 55 Roman;sans-serif"/>
          <w:b w:val="false"/>
          <w:color w:val="000000"/>
          <w:sz w:val="20"/>
        </w:rPr>
        <w:t>In January 2025, we entered into a strategic collaboration with Advanced Micro Devices, Inc. (AMD) with a goal to optimize the performance of AMD Instinct</w:t>
      </w:r>
      <w:r>
        <w:rPr>
          <w:rFonts w:ascii="Frutiger LT 55 Roman;sans-serif" w:hAnsi="Frutiger LT 55 Roman;sans-serif"/>
          <w:b w:val="false"/>
          <w:color w:val="000000"/>
          <w:sz w:val="10"/>
        </w:rPr>
        <w:t>TM</w:t>
      </w:r>
      <w:r>
        <w:rPr>
          <w:color w:val="000000"/>
        </w:rPr>
        <w:t xml:space="preserve"> </w:t>
      </w:r>
      <w:r>
        <w:rPr>
          <w:rFonts w:ascii="Frutiger LT 55 Roman;sans-serif" w:hAnsi="Frutiger LT 55 Roman;sans-serif"/>
          <w:b w:val="false"/>
          <w:color w:val="000000"/>
          <w:sz w:val="20"/>
        </w:rPr>
        <w:t>accelerators and ROCm</w:t>
      </w:r>
      <w:r>
        <w:rPr>
          <w:rFonts w:ascii="Frutiger LT 55 Roman;sans-serif" w:hAnsi="Frutiger LT 55 Roman;sans-serif"/>
          <w:b w:val="false"/>
          <w:color w:val="000000"/>
          <w:sz w:val="10"/>
        </w:rPr>
        <w:t xml:space="preserve">TM </w:t>
      </w:r>
      <w:r>
        <w:rPr>
          <w:rFonts w:ascii="Frutiger LT 55 Roman;sans-serif" w:hAnsi="Frutiger LT 55 Roman;sans-serif"/>
          <w:b w:val="false"/>
          <w:color w:val="000000"/>
          <w:sz w:val="20"/>
        </w:rPr>
        <w:t xml:space="preserve">software to support our AI drug creation, including our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antibody design models. Additionally, AMD invested $20.0 million through the purchase of 5,714,285 shares of our common stock a private investment in public equity (PIPE) at a premium over the market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Components of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revenue currently consists primarily of fees earned from our partners in conjunction with drug creation agreements utilizing our Integrated Drug Creation platform, which are presented as partner program revenue in our results of operations. These fees are earned and paid at various points throughout the terms of these agreements including upfront, upon the achievement of specified project-based milestones, and throughout the program. Future revenue may also be earned from our partners’ achievements of certain clinical, regulatory, and commercial milestones and through royalties as a percentage of net product sales.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expect that our revenue will fluctuate from period to period due to the timing of executing additional partnerships, the contractual structure of existing and future partnerships, the measurement of progress towards completion of each program, the uncertainty of achieving technical milestones, and dependence on our partners’ program-related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Operating Expenses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Research and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Research and development expenses include personnel-related costs (comprised of salaries, benefits and share-based compensation), contract research services, contract manufacturing, consulting fees, laboratory supplies and facilities, and certain technology costs. These expenses are exclusive of depreciation and amortization. Research and development activities consist of continued development of our Integrated Drug Creation platform, internally developed programs, and partnered programs. We derive improvements to our Integrated Drug Creation platform from each type of activity. Research and development efforts apply to our Integrated Drug Creation platform broadly, as well as across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expect research and development expenses to increase in absolute dollars over the long term as we develop and advance our internally developed programs through pre-clinical and clinical activities, enter into additional partnerships, and continue to invest in technology enhancements.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Selling, general, and administrative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Selling, general, and administrative expenses include personnel-related costs (comprised of salaries, benefits and share-based compensation) for executive, business development, legal, finance, human resources, information technology and other administrative functions. General and administrative expenses include certain professional service expenses, such as external legal, accounting, and other consultants, as well as insurance, certain technology costs, and allocated facility costs. These expenses are exclusive of 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we expand our clinical development and regulatory operations and require further administrative support, and also prepare for a potential future commercial launch of a product candidate, we expect personnel-related costs may increase in absolute dollars and we expect to continue to actively manage other general and administrative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a comprehensive intellectual property portfolio directed towards the many aspects of our Integrated Drug Creation platform, including those related to our internally developed programs, product candidates proprietary cell lines and protein expression technologies, proprietary screening assays, antibody discovery methods, and generative AI models. We regularly file patent applications to protect innovations arising from our research and development. We also hold trademarks and trademark applications in the United States and foreign jurisdictions. Costs to secure and defend our intellectual property are expensed as incurred and are classified as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Depreciation and amortization expense consists of the depreciation expense of our property and equipment and amortization of our intangibles. Our equipment is used most actively as part of our lab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Other income (expense)</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Interest expense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Interest expense, net, consists primarily of interest related to borrowings under our term debt and financed laboratory equipment.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Other income, net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income, net consists primarily of interest income from our cash, cash equivalents and marketable securities and realized and unrealized gains and losses on foreign currency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results of operations presented below should be reviewed in conjunction with our condensed consolidated financial statements and notes included elsewhere in this Quarterly Report. The following tables set forth our results of operations for the periods presented (In thousands):</w:t>
      </w:r>
    </w:p>
    <w:tbl>
      <w:tblPr>
        <w:tblW w:w="8874" w:type="dxa"/>
        <w:jc w:val="left"/>
        <w:tblInd w:w="0" w:type="dxa"/>
        <w:tblLayout w:type="fixed"/>
        <w:tblCellMar>
          <w:top w:w="28" w:type="dxa"/>
          <w:left w:w="28" w:type="dxa"/>
          <w:bottom w:w="28" w:type="dxa"/>
          <w:right w:w="28" w:type="dxa"/>
        </w:tblCellMar>
      </w:tblPr>
      <w:tblGrid>
        <w:gridCol w:w="1184"/>
        <w:gridCol w:w="1041"/>
        <w:gridCol w:w="1045"/>
        <w:gridCol w:w="109"/>
        <w:gridCol w:w="109"/>
        <w:gridCol w:w="243"/>
        <w:gridCol w:w="243"/>
        <w:gridCol w:w="243"/>
        <w:gridCol w:w="243"/>
        <w:gridCol w:w="504"/>
        <w:gridCol w:w="2044"/>
        <w:gridCol w:w="243"/>
        <w:gridCol w:w="109"/>
        <w:gridCol w:w="109"/>
        <w:gridCol w:w="109"/>
        <w:gridCol w:w="226"/>
        <w:gridCol w:w="91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7"/>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March 31,</w:t>
            </w:r>
          </w:p>
        </w:tc>
        <w:tc>
          <w:tcPr>
            <w:tcW w:w="1623" w:type="dxa"/>
            <w:gridSpan w:val="6"/>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Partner program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2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19,275 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9,058 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2,728 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31,061 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(30,846)</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(27,729)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1,283 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1,265 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(29,581)</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(26,350)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2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(29,599)</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(26,346)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Comparison of the Three Months Ended March 31, 2026 and 2025</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Partner program revenue decreased by $1.0 million, or 82%, for the three months ended March 31, 2026 compared to the three months ended March 31, 2025, driven by a combination of the timing of achieving project-based milestones and the mix of ongoing program activity under our drug creation agreements. During the three months ended March 31, 2026, two partners represented 100% of total partner program revenue. During the three months ended March 31, 2025, two partners represented approximately 95% of total partner program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Operating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tables summarize our operating expenses for the three months ended March 31, 2026 and 2025 (In thousands, except for percentages):</w:t>
      </w:r>
    </w:p>
    <w:tbl>
      <w:tblPr>
        <w:tblW w:w="9853" w:type="dxa"/>
        <w:jc w:val="left"/>
        <w:tblInd w:w="0" w:type="dxa"/>
        <w:tblLayout w:type="fixed"/>
        <w:tblCellMar>
          <w:top w:w="28" w:type="dxa"/>
          <w:left w:w="28" w:type="dxa"/>
          <w:bottom w:w="28" w:type="dxa"/>
          <w:right w:w="28" w:type="dxa"/>
        </w:tblCellMar>
      </w:tblPr>
      <w:tblGrid>
        <w:gridCol w:w="1186"/>
        <w:gridCol w:w="1041"/>
        <w:gridCol w:w="1043"/>
        <w:gridCol w:w="321"/>
        <w:gridCol w:w="1174"/>
        <w:gridCol w:w="154"/>
        <w:gridCol w:w="154"/>
        <w:gridCol w:w="154"/>
        <w:gridCol w:w="154"/>
        <w:gridCol w:w="321"/>
        <w:gridCol w:w="1174"/>
        <w:gridCol w:w="154"/>
        <w:gridCol w:w="109"/>
        <w:gridCol w:w="109"/>
        <w:gridCol w:w="109"/>
        <w:gridCol w:w="226"/>
        <w:gridCol w:w="706"/>
        <w:gridCol w:w="109"/>
        <w:gridCol w:w="109"/>
        <w:gridCol w:w="109"/>
        <w:gridCol w:w="109"/>
        <w:gridCol w:w="248"/>
        <w:gridCol w:w="248"/>
        <w:gridCol w:w="632"/>
      </w:tblGrid>
      <w:tr>
        <w:trPr/>
        <w:tc>
          <w:tcPr>
            <w:tcW w:w="118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 Change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expenses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28,908 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Research and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Research and development expenses increased by $2.9 million, or 18%, for the three months ended March 31, 2026 compared to the three months ended March 31, 2025. The increase was primarily attributable to an increase of $1.6 million in direct costs associated with external preclinical and clinical development of ABS-201, an increase of $2.1 million of other drug creation and platform costs, and a $0.2 million increase in other lab costs. This increase was offset by a decrease of $0.9 million of personnel costs and stock-based compensation.</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Selling, general and administrative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Selling, general, and administrative expenses decreased by $0.4 million, or 4%, for the three months ended March 31, 2026 compared to the three months ended March 31, 2025. The decrease was primarily attributable to a decrease of $0.3 million in personnel and stock-based compensation costs.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Depreciation and amortization expense decreased by $0.3 million, or 11%, for the three months ended March 31, 2026 compared to the three months ended March 31, 2025, primarily due to disposals of lab equipment.</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Other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Other income, net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income, net, was $1.3 million for the three months ended March 31, 2026, compared to $1.5 million for the three months ended March 31, 2025, representing a decrease of $0.2 million, or 12%, primarily attributable to realized and unrealized gains and losses on foreign currency transactions and a decrease in investment income from cash, cash equivalents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Liquidity and Capital Resources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March 31, 2026, we had $125.7 million of cash, cash equivalents and marketable securities.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incurred net operating losses since inception. As of March 31, 2026, our accumulated deficit was $654.4 million. To date, we have funded operations through issuances and sales of equity securities and debt, in addition to revenue generated from our drug creation agreements. We believe that our cash, cash equivalents and marketable securities will be sufficient to meet our operating expenses, working capital and capital expenditure needs over at least the next 12 months following the date of this filing.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future capital requirements will depend on many factors, including, but not limited to our ability to raise additional capital through equity or debt financing, the development of our internally developed programs including the progress and strategy of our preclinical and clinical activities, our ability to successfully enter into additional partnerships with new and existing partners, the advancement of technology development activities with existing and future partners, the successful preclinical and clinical development by us and our partners of product candidates generated using our Integrated Drug Creation platform, and the successful commercialization by us and our partners of any such product candidates that are approved. If we are unable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execute on our business plan and adequately fund operations, or if our business plan requires a level of spending in excess of cash resources, we may be required to change our strategies related to preclinical and clinical development and our approach to negotiating partnerships. Alternatively, we may need to seek additional equity or debt financing, which may not be available on terms acceptable to us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restricting our ability to take specific actions, such as incurring additional debt, selling or licensing our programs, making product acquisitions, making capital expenditures, or declaring dividends. If we are unable to generate sufficient revenue or raise additional capital when desired, our business, financial condition, results of operations and prospects would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Sources of liquidity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Since our inception, we have financed our operations primarily from the issuance and sale of our redeemable convertible preferred stock, issuances of equity securities, borrowings under long-term debt agreements, and to a lesser extent, cash flow from operations.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At-the-market offering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August 2025, we entered into a Sales Agreement with TD Securities (USA) LLC, as Sales Agent (the “Sales Agreement”), with respect to an “at the market offering” program under which we may offer and sell, from time to time, shares of our common stock having an aggregate offering price of up to $100.0 million through the Sales Agent. We have agreed to pay the Sales Agent a commission of up to 3.0% of the gross proceeds of any shares sold under the Sales Agreement. Upon execution, the Sales Agreement terminated and superseded the prior sales agreement entered into in June 2023 in its entirety. During the three months ended March 31, 2026, we issued 2,871,218 shares and received $8.0 million in net proceeds from the sale of securities pursuant to the Sales Agreement.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Public offerings of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On July 28, 2025, we sold an aggregate of 16,670,000 shares of our common stock pursuant to an underwriting agreement with Morgan Stanley &amp; Co. LLC, J.P. Morgan Securities LLC, Jefferies LLC and TD Securities (US) LLC at a public offering price of $3.00 per share, before underwriting discounts and commissions. We received total net proceeds from the offering of $46.7 million after deducting underwriting discounts and commissions and offering expenses payable by us.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Private investment in public equity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January 2025, we entered into a strategic collaboration with AMD and sold an aggregate of 5,714,285 shares of our common stock to AMD for net proceeds of $20.0 million through a private investment in public equity (PIPE). The issuance of stock to AMD was at a premium of approximately $2.5 million over the market price on the issuance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Cash Flows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summarizes our cash flows (In thousands):</w:t>
      </w:r>
    </w:p>
    <w:tbl>
      <w:tblPr>
        <w:tblW w:w="10205" w:type="dxa"/>
        <w:jc w:val="left"/>
        <w:tblInd w:w="0" w:type="dxa"/>
        <w:tblLayout w:type="fixed"/>
        <w:tblCellMar>
          <w:top w:w="28" w:type="dxa"/>
          <w:left w:w="28" w:type="dxa"/>
          <w:bottom w:w="28" w:type="dxa"/>
          <w:right w:w="28" w:type="dxa"/>
        </w:tblCellMar>
      </w:tblPr>
      <w:tblGrid>
        <w:gridCol w:w="2241"/>
        <w:gridCol w:w="1947"/>
        <w:gridCol w:w="1960"/>
        <w:gridCol w:w="109"/>
        <w:gridCol w:w="109"/>
        <w:gridCol w:w="109"/>
        <w:gridCol w:w="316"/>
        <w:gridCol w:w="1280"/>
        <w:gridCol w:w="152"/>
        <w:gridCol w:w="152"/>
        <w:gridCol w:w="152"/>
        <w:gridCol w:w="152"/>
        <w:gridCol w:w="316"/>
        <w:gridCol w:w="989"/>
        <w:gridCol w:w="221"/>
      </w:tblGrid>
      <w:tr>
        <w:trPr/>
        <w:tc>
          <w:tcPr>
            <w:tcW w:w="2241"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1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March 31,</w:t>
            </w:r>
          </w:p>
        </w:tc>
      </w:tr>
      <w:tr>
        <w:trPr/>
        <w:tc>
          <w:tcPr>
            <w:tcW w:w="6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6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(26,307)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(21,839)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7,362 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(15,044)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7,556 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42,794 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(11,389)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5,911 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23</w:t>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operating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three months ended March 31, 2026, net cash used in operating activities was $26.3 million and consisted primarily of a net loss of $29.6 million adjusted for non-cash items, including depreciation and amortization expense of $2.7 million, stock-based compensation expense of $4.4 million, and a net increase in operating assets and liabilities in the amount of $3.1 million.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three months ended March 31, 2025, net cash used in operating activities was $21.8 million and consisted primarily of a net loss of $26.3 million adjusted for non-cash items, including depreciation and amortization expense of $3.1 million, stock-based compensation expense of $4.9 million, and a net increase in operating assets and liabilities in the amount of $2.8 million.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investing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three months ended March 31, 2026, net cash provided by (used in) investing activities was $7.4 million primarily from purchases of marketable securities of $18.6 million, partially offset by cash provided by maturities of marketable securities of $26.0 million.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three months ended March 31, 2025, net cash provided by (used in) investing activities was $15.0 million primarily from purchases of marketable securities of $40.1 million, partially offset by maturities of marketable securities of $25.0 million.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financing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three months ended March 31, 2026, net cash provided by financing activities was $7.6 million. The net cash provided resulted primarily from aggregate proceeds of $8.0 million from the issuance of common stock pursuant to the Sales Agreement, and proceeds of $0.1 million from the issuance of common stock through employee equity plans.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three months ended March 31, 2025, net cash provided by financing activities was $42.8 million. The net cash provided resulted primarily from aggregate proceeds of $41.7 million from the issuance of common stock pursuant to the PIPE with AMD and pursuant to the Prior Sales Agreement, and proceeds of $1.9 million from the issuance of common stock through employee equity plans, partially offset by principal payments of $0.8 million made for financed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Critical Accounting Estimates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management’s discussion and analysis of our financial condition and results of operations is based on our financial statements, which have been prepared in accordance with accounting principles generally accepted in the United States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This report should be read in conjunction with the consolidated financial statements in our 2025 Annual Report on Form 10-K where we include additional information on our business, risk factors, critical accounting estimates, policies, and the methods and assumptions used in our estimates, among other important information.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were no material changes in our critical accounting policies and estimates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Emerging Growth Company Status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Section 107 of the JOBS Act provides that an emerging growth company may take advantage of the extended transition period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Section 7(a)(2)(B) of the Securities Act of 1933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Subject to certain conditions, as an emerging growth company, we may rely on certain other exemptions and reduced reporting requirements, including without limitation (i) providing an auditor’s attestation report on our system of internal controls over financial reporting pursuant to Section 404(b) of the Sarbanes-Oxley Act and (ii) complying with any requirement by the Public Company Accounting Oversight Board (PCAOB) regarding mandatory audit firm rotation or a supplement to the auditor’s report providing additional information about the audit and the consolidated financial statements, known as the auditor discussion and analysis.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are also a “smaller reporting company” as defined in Rule 12b-2 of the Exchange Act and have elected to take advantage of certain of the scaled back disclosure requirements available to smaller reporting companies such as avoiding the extensive narrative disclosure required of other reporting companies, particularly in the description of executive compensation. We will remain a smaller reporting company until (a) the last day of the fiscal year in which we have total annual gross revenue of less than $100 million and the market value of our common stock held by non-affiliates exceeds $700.0 million as of the prior June 30th, or (b) the last day of the fiscal year in which we have total annual gross revenue exceeding $100 million and the market value of our common stock held by non-affiliates exceeds $250.0 million. In August 2025, the SEC released a Compliance and Disclosure Interpretation clarifying the filer status transition for registrants that lose their smaller reporting company status based on the revenue tests. Due to this interpretation, we will remain a non-accelerated filer for filings due in the fiscal year immediately following the loss of smaller reporting company status, allowing us to retain the exception from the auditor attestation requirement on internal control over financial reporting. However, the interpretation specifies that we will lose eligibility for all other smaller reporting company accommodations beginning with the Form 10-Q for the first fiscal quarter of the year after losing smaller reporting company status.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loss of emerging growth status will not impact our “non-accelerated filer” status, which also provides an exemption from the auditor attestation requirement with respect to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3. Quantitative and Qualitative Disclosure About Market Risk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4. Controls and Procedures</w:t>
      </w:r>
    </w:p>
    <w:p>
      <w:pPr>
        <w:pStyle w:val="TextBody"/>
        <w:bidi w:val="0"/>
        <w:spacing w:lineRule="auto" w:line="288" w:before="0" w:after="160"/>
        <w:jc w:val="left"/>
        <w:rPr/>
      </w:pPr>
      <w:r>
        <w:rPr>
          <w:rFonts w:ascii="Frutiger LT 55 Roman;sans-serif" w:hAnsi="Frutiger LT 55 Roman;sans-serif"/>
          <w:b w:val="false"/>
          <w:i/>
          <w:color w:val="000000"/>
          <w:sz w:val="20"/>
        </w:rPr>
        <w:t>Evaluation of disclosure controls and procedure</w:t>
      </w:r>
      <w:r>
        <w:rPr>
          <w:rFonts w:ascii="Frutiger LT 55 Roman;sans-serif" w:hAnsi="Frutiger LT 55 Roman;sans-serif"/>
          <w:b w:val="false"/>
          <w:color w:val="000000"/>
          <w:sz w:val="20"/>
        </w:rPr>
        <w: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“disclosure controls and procedures,” as defined in Rules 13a-15(e) and 15d-15(e) under the Securities Exchange Act of 1934, as amended (the Exchange Act),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are designed to provide reasonable assurance that information required to be disclosed is accumulated and communicated to the issuer’s management, including its principal executive and principal financial officers, to allow timely decisions regarding required disclosure.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Under the supervision and with the participation of our management, including our Chief Executive Officer and Chief Financial Officer, we conducted an evaluation of the effectiveness of our disclosure controls and procedures as of the end of the period covered by this Quarterly Report on Form 10-Q. Based on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evaluation, management concluded that our disclosure controls and procedures as of the end of the period covered by this report were effective at the reasonable assurance level.</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Changes in internal control over financial reporting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was no change in our internal control over financial reporting that occurred during the three months ended March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 Legal Proceedings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not currently a party to any material litigation or other legal proceedings. From time to time, we may, however, in the ordinary course of business face various claims brought by third parties, and we may, from time to time, make claims or take legal actions to assert our rights. Any such claims and associated legal proceedings could, in the opinion of our management, have a material adverse effect on our business, financial condition, results of operations or prospects. Regardless of outcome, litigation can have an adverse impact on us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1A. Risk Factors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Factors that could cause or contribute to differences in our future financial and operating results include those discussed in the risk factors set forth in our Annual Report on Form 10-K for the year ended December 31, 2025 filed with the SEC on March 24, 2026. The risks described in our Annual Report and this Quarterly Report on Form 10-Q are not the only risks that we face. Additional risks not presently known to us or that we do not currently consider significant may also have an adverse effect on the Company. If any of the risks actually occur, our business, results of operations, cash flows or financial condition could suffer.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Our Financial Condition and Need for Additional Capital</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short operating history may make it difficult for you to evaluate the success of our business to date and to assess our future viability.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 clinical-stage company. Our operations to date have been limited to organizing and staffing our company, business planning, raising capital, acquiring and developing our technology, identifying potential product candidates and undertaking preclinical and early clinical studies related to our internally developed programs. All of our product candidates are still in preclinical and early clinical development. We have not yet demonstrated our ability to successfully complete any clinical trials, including large-scale, pivotal clinical trials, obtain marketing approvals, manufacture a commercial scale medicine, or arrange for a third party to do so on our behalf, or conduct sales and marketing activities necessary for successful commercialization. Typically, it takes about 10 to 15 years to develop one new medicine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do not anticipate generating any revenue from commercial product sales, if ever, until we successfully complete the clinical development of, and achieve regulatory approval for, any of our internally developed programs, all of which are still in clinical and preclinical development.</w:t>
      </w:r>
    </w:p>
    <w:p>
      <w:pPr>
        <w:pStyle w:val="TextBody"/>
        <w:bidi w:val="0"/>
        <w:spacing w:lineRule="auto" w:line="288" w:before="0" w:after="160"/>
        <w:jc w:val="left"/>
        <w:rPr/>
      </w:pPr>
      <w:r>
        <w:rPr>
          <w:rFonts w:ascii="Frutiger LT 55 Roman;sans-serif" w:hAnsi="Frutiger LT 55 Roman;sans-serif"/>
          <w:b w:val="false"/>
          <w:color w:val="000000"/>
          <w:sz w:val="20"/>
        </w:rPr>
        <w:t>In addition to the development of our internally developed programs, we began entering into drug creation collaborations for drug creation programs and co-development partnerships with third parties in</w:t>
      </w:r>
      <w:r>
        <w:rPr>
          <w:color w:val="000000"/>
          <w:shd w:fill="FFFFFF" w:val="clear"/>
        </w:rPr>
        <w:t xml:space="preserve"> </w:t>
      </w:r>
      <w:r>
        <w:rPr>
          <w:rFonts w:ascii="Frutiger LT 55 Roman;sans-serif" w:hAnsi="Frutiger LT 55 Roman;sans-serif"/>
          <w:b w:val="false"/>
          <w:color w:val="000000"/>
          <w:sz w:val="20"/>
          <w:shd w:fill="FFFFFF" w:val="clear"/>
        </w:rPr>
        <w:t xml:space="preserve">2018. </w:t>
      </w:r>
      <w:r>
        <w:rPr>
          <w:rFonts w:ascii="Frutiger LT 55 Roman;sans-serif" w:hAnsi="Frutiger LT 55 Roman;sans-serif"/>
          <w:b w:val="false"/>
          <w:color w:val="000000"/>
          <w:sz w:val="20"/>
        </w:rPr>
        <w:t xml:space="preserve">We are still early in the adoption phase of our drug creation collaboration business model, and, as of May 7, 2026, no partner has entered into a license for clinical or commercial use of any intellectual property rights related to a product candidate or cell lines.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revenue to date has been generated primarily from drug creation activities conducted through these partnered programs. In addition, we expect our expenses to increase as we advance our internally developed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programs into and through clinical development. Accordingly, if we do not generate revenue as and when anticipated, our losses may be greater than expected and our operating results will suffer.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incurred significant losses since inception, we expect to incur losses in the future and we may not be able to generate sufficient revenue to achieve and maintain profitability.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incurred significant losses since our inception. For the three months ended March 31, 2026 and 2025, we incurred net losses of $29.6 million and $26.3 million, respectively. As of March 31, 2026, we had an accumulated deficit of $654.4 million. We expect that our operating expenses will continue to increase as we grow our business and advance our internally developed programs.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Since our inception, we have financed our operations primarily from private placements of our equity securities, convertible promissory notes, the sale of common stock in our initial public offering (IPO), subsequent follow-on offerings, the incurrence of other indebtedness and other financing activities, and to a lesser extent, revenue derived from our drug creation activities leveraging our Integrated Drug Creation platform. We have devoted substantially all of our resources to the development of our Integrated Drug Creation platform and commercialization of resulting drug creation capabilities, and the research and development of our internally developed programs. We will need to generate significant additional revenue to achieve and sustain profitability, and even if we achieve profitability, we cannot be sure that we will remain profitable for any substantial period of time. We may never be able to generate sufficient revenue to achieve or sustain profitability and our recent and historical financial and operating results should not be considered indicative of our future performance.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will need to raise additional capital to fund our operations, pre-clinical and clinical development of our internally developed programs, and to improve our Integrated Drug Creation platform. If we are unable to raise additional capital on terms acceptable to us or at all, we may not be able to continue to develop our internally developed programs and/or compete successfully with our Integrated Drug Creation platform, which would harm our business, operations, and financial condition.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March 31, 2026, we had $125.7 million in cash, cash equivalents and marketable securities. We expect our current cash, cash equivalents and marketable securities and anticipated cash flows from operations will be sufficient to meet our working capital and capital expenditure needs over at least the next 12 months. If our available resources and anticipated cash flow from operations are insufficient to satisfy our liquidity requirements, including because of higher expenses than we anticipate related to internally developed programs or our investments in our Integrated Drug Creation platform or any other technology, lower demand from existing and potential partners for our Integrated Drug Creation platform, or the realization of other risks described in this "Risk Factors” section, we will be required to raise additional capital through issuances of equity or convertible debt securities, entrance into a credit facility or another form of third party funding, or seek other sources of financing. Such additional financing may not be available on terms acceptable to us or at all.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any event, we may consider raising additional capital in the future to expand our business, to pursue strategic investments, to take advantage of financing opportunities or for other reasons. For example, this may include reasons such as to: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our existing internally developed programs through preclinical and clinical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new or additional internally developed programs through preclinical and clinical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further advance our AI capabilities, including AI capabilities related to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further expand the capabilities of our Integrated Drug Creation platform into additional areas of biopharmaceutical research and development, such as target discovery or translational medicine;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increase our business development efforts to drive market recognition of our Integrated Drug Creation platform, our internally developed programs and address competitive developments;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fund business development efforts for our current or future internally developed programs and partnered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acquire, license or invest in additional technologies or complementary businesses or assets;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finance capital expenditures and general and administrative expenses.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present and future funding requirements will depend on many factors, including: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cost of expanding our operations, including our ongoing and planned preclinical and clinical development activities for our internally developed programs;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and clinical development, including costs associated with building our internal clinical and regulatory capabilities and contracting with third-party clinical investigators, contract research organizations (CROs), manufacturers and suppliers, or clinical data management organizations;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ability to achieve and sustain sufficient revenues from partnerships and other business development activities;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rate of progress in working with partners to leverage our Integrated Drug Creation platform and business development activities associated therewith;</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rate of progress in, and cost of, developing new technologies;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effect of competing technological and market developments;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costs related to any domestic and international expansion.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various ways we could raise additional capital carry potential risks. If we raise funds by issuing equity securities, dilution to our stockholders would result. Any preferred equity securities issued also would likely provide for rights, preferences or privileges senior to those of holders of our common stock. If we raise funds by issuing debt securities, those debt securities may have rights, preferences and privileges senior to those of holders of our common stock. Debt financing and preferred equity financing, if available, may also involve agreements that include covenants restricting our ability to take specific actions, such as incurring additional debt, selling or licensing our programs, making asset acquisitions, making capital expenditures, or declaring dividends.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Substantially all of our historical revenue is related to partnered drug creation activities, and we have not demonstrated the ability to enter into a sufficient number of partnerships providing for long-term license arrangements under which we are entitled to receive milestone payments or royalties on net product sales. We have not received any such milestone or royalty revenues to date, and it may be years before we realize any such revenues, if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For the three months ended March 31, 2026, all of our revenue was generated by performing drug creation activities for our partnered programs. To date, such fees have generally been payable upon both the inception of, and the demonstration of technical achievement of program milestones, under drug creation agreements with our partners. Our business model depends, in part, on the successful completion of the drug creation phase under these arrangements and on our subsequent entry into long-term license arrangements with our partners that entitle us to development, regulatory and commercial milestones and/or royalties with respect to product candidates generated through our Integrated Drug Creation platform, as well as product candidates discovered and/or manufactured in cell lines developed by us. We are still in the very early stages of implementing our drug creation model and, to date, no partner has entered into a license for clinical or commercial use of any intellectual property rights related to product candidates discovered thereunder or cell lines developed by us. If we are unable to maintain these partnerships (including if such partnerships are terminated prior to or upon completion of the drug creation phase) or we are otherwise unable to enter into commercial license agreements for our partnered programs, we will not receive any downstream payments, which may have a material and adverse effect on our business prospects. Additionally, any such license agreements that we may enter into may not be on terms that are favorable to us and may not result in meaningful revenues to us, or at all, or such license agreements may be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Fees generated by drug creation activities that we perform for our partners, the timing and nature of which are dictated by the timing of program commencement, which depends on various permissions, information and supplies provided by our partners and/or third party vendors as well as the pace of program progression and receipt of ongoing input from our partners. Our eligibility to receive milestone payments from our partnerships is generally subject to the negotiation of future arrangements, as described above. As a result, we currently do not generate significant recurring revenue and, until we are able to establish significant recurring revenue, if at all, we will be prone to regular and significant fluctuations in our revenue dependent on the timing of our entry into partnership agreements, our partners advancing such programs, and our partners achieving development milestones or commercial sales with respect to product candidates discovered and/or manufactured in cell lines developed by us. </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Biologic Drug Development</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Biologic drug development is inherently uncertain, and it is possible that our technology may not succeed in discovering appropriate product candidates. Even if we do succeed, it is possible that none of the product candidates created using our Integrated Drug Creation platform will achieve development or regulatory milestones, including marketing approval, or become viable commercial technologies, on a timely basis or at all, which would harm our ability to generate revenue.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use our Integrated Drug Creation platform both to advance our internally developed programs and to create product candidates for partners that are engaged in biologic drug discovery and development. In addition, we may enter into partnerships for the further development and commercialization of our internally developed programs during later stages of clinical development. While we currently receive payments for performing drug creation activities and successfully completing technical program deliverables and milestones for our partners with respect to our partnered programs, we anticipate that the vast majority of the economic value of the agreements that we enter into with our partners will be in the downstream payments that would be payable if certain milestones are met by our partners with respect to product candidates generated utilizing our Integrated Drug Creation platform and royalties on net sales if such product candidates are approved for marketing and successfully commercialized. As a result, our future growth is dependent on our ability to successfully advance our internally developed programs through clinical development and eventual marketing approval and commercialization, and the ability of our partners to successfully develop and commercialize therapies based on product candidates generated using our Integrated Drug Creation platform. Risks relating to clinical development, including risks related to manufacturing and clinical supply, regulatory clearance, authorization or approval and commercialization apply to us both directly with respect to our internally developed programs and indirectly through the activities of our partners with respect to their programs that are generated pursuant to a drug creation agreement. Even if our Integrated Drug Creation platform is capable of identifying high quality product candidates, there can be no assurance that we or our partners will successfully develop, secure marketing approvals for and commercialize any product candidates discovered and developed under a partnered program. As a result, we may not realize the intended benefits of our internal research and development efforts or our partnerships.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Due to the uncertain, time-consuming and costly clinical development and regulatory approval process, we or our partners may not successfully develop any product candidates generated using our Integrated Drug Creation platform, or we or our partners may choose to discontinue the development of these product candidates for a variety of reasons, including due to safety, risk versus benefit profile, exclusivity, competitive landscape, commercialization potential, production limitations or prioritization of their resources. It is possible that none of these product candidates will ever receive regulatory approval and, even if approved, such product candidates may never be successfully commercialized. Most product candidates that commence clinical trials are never approved, and there can be no assurance that any of our partnered programs or any internally developed programs will ultimately be successful.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even if these product candidates receive regulatory approval in the United States, our partners may never obtain approval or commercialize outside of the United States, which would limit their full market potential and therefore our ability to realize their potential downstream value. In addition, regulatory authorities may approve any of the product candidates that we may develop for fewer or more limited indications than requested. Furthermore, approved drugs may not achieve broad market acceptance among physicians, patients, the medical community and third-party payors, in which case revenue generated from their sales would be limited. Likewise, we or our partners have to make decisions about which clinical stage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and preclinical product candidates to develop and advance, and we or our partners may not have the resources to invest in all of the product candidates generated using our Integrated Drug Creation platform, or clinical data and other development considerations may not support the advancement of one or more product candidates. Decision-making about which product candidates to prioritize involves inherent uncertainty, and we or our partners’ decision-making and resource prioritization decisions, which in the case of our partners are outside of our control, may adversely affect the potential value of those partnerships. Additionally, subject to its contractual obligations to us, if one more of our partners is involved in a business combination, the partner might de-emphasize or terminate the development or commercialization of any product candidate generated using our Integrated Drug Creation platform. If one of our partners terminates its agreement with us, we may find it more difficult to attract new partners.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also subject to industry-wide FDA and other regulatory risk. For example, the number of BLAs approved by the FDA varies significantly over time and if changes in applicable laws, regulations, or policy or other events, such as staffing changes or shortages at the FDA, lead to an extended reduction in the number of BLAs approved by the FDA or otherwise reduce the number of biologics in development, our industry would contract and our business would be materially harmed.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or our partners’ failure to effectively develop or commercialize any product candidates generated using our platform could have a material adverse effect on our business, financial condition, results of operations and prospects, and cause the market price of our common stock to decline. In addition to the inherent uncertainty in drug development addresses above, our ability to forecast our future financial performance and revenues may be limited.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Positive results from early preclinical studies or preliminary results from clinical trials of our product candidates are not necessarily predictive of the results of later preclinical studies and any future clinical trials of our product candidates.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Positive results from early preclinical studies, exploratory analyses or preliminary results from clinical trials of our product candidates may not be predictive of the results of later preclinical studies or future clinical trials. Many companies in the biopharmaceutical industry have experienced significant setbacks in later-stage clinical trials after achieving positive results in early-stage development, and we cannot be certain that we will not face similar setbacks. The results of preclinical studies and early-stage clinical trials may not be replicated in later preclinical studies or in larger or more advanced clinical trials conducted under different protocols or conditions.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Preclinical studies are conducted in laboratory models and animals and may not accurately predict the safety, tolerability, pharmacokinetics, pharmacodynamics or efficacy of a product candidate in humans. Similarly, early clinical trials are typically conducted in small patient populations and over relatively short durations, and therefore may not be indicative of results obtained in larger or longer-term trials. Differences in trial design, patient populations, endpoints, dosing regimens, statistical analyses, or other factors may also lead to results in later trials that differ materially from earlier findings.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preliminary or interim data from our clinical trials are subject to the risk that one or more of the clinical outcomes may materially change as additional patient data become available and are subject to further verification and analysis. Preliminary or interim results that we report from time to time may not reflect the final results of the trial, and final results may differ materially from the preliminary data we previously reported. We may also report results based on exploratory endpoints, biomarker data or other early indicators of activity that may not ultimately translate into clinically meaningful outcomes or regulatory approval. Regulatory authorities may also interpret the data differently than we do and may require additional studies before approving any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are unable to replicate positive results from our earlier preclinical studies or preliminary clinical trials in subsequent studies or trials, if biomarker or exploratory signals do not translate into clinically meaningful outcomes, or if our product candidates demonstrate unacceptable safety profiles or insufficient efficacy, the development of our product candidates could be delayed, limited or terminated. Any such setbacks could materially harm our business, financial condition, results of operations and prospects and may prevent us from successfully developing, obtaining regulatory approval for, and commercializing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our discovery efforts rely in part on proprietary technologies, computational approaches and AI-enabled platforms to identify and design potential product candidates. While we believe these technologies may help accelerate aspects of the drug discovery process, the application of AI and computational methods to drug discovery is still evolving and has not yet consistently resulted in the successful development and regulatory approval of new therapeutic products. Product candidates identified or optimized using these technologies may not demonstrate the expected safety, tolerability, pharmacokinetic properties or therapeutic activity in preclinical studies or clinical trials. Even if our platform generates promising product candidates, we may not be able to successfully advance those candidates through clinical development, obtain regulatory approval or achieve commercial success. As a result, our platform technologies may not result in the discovery or development of commercially viable product candidates, which could materially adversely affect our business, financial condition, results of operations and prospects.</w:t>
      </w:r>
    </w:p>
    <w:p>
      <w:pPr>
        <w:pStyle w:val="TextBody"/>
        <w:bidi w:val="0"/>
        <w:spacing w:lineRule="auto" w:line="288" w:before="0" w:after="160"/>
        <w:jc w:val="left"/>
        <w:rPr/>
      </w:pPr>
      <w:r>
        <w:rPr>
          <w:rFonts w:ascii="Frutiger LT 55 Roman;sans-serif" w:hAnsi="Frutiger LT 55 Roman;sans-serif"/>
          <w:b/>
          <w:i/>
          <w:color w:val="000000"/>
          <w:sz w:val="20"/>
        </w:rPr>
        <w:t>Preclinical and clinical development is uncertain. Our or our partners' preclinical and clinical product candidates may experience delays or may never advance to and/or through clinical trials, which would adversely affect our or our partners’ ability to obtain regulatory approvals or commercialize these product candidates on a timely basis or at all, which would have an adverse effect on our business</w:t>
      </w:r>
      <w:r>
        <w:rPr>
          <w:rFonts w:ascii="Frutiger LT 55 Roman;sans-serif" w:hAnsi="Frutiger LT 55 Roman;sans-serif"/>
          <w:b w:val="false"/>
          <w:color w:val="000000"/>
          <w:sz w:val="20"/>
        </w:rPr>
        <w:t xml:space="preser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very early in our development of product candidates and have focused our efforts to date on platform development, discovery, research, preclinical and early clinical development. We have only recently dosed the first participants in our Phase 1 clinical trials of ABS-101 and ABS-201, and all of our other programs are still in the research or preclinical stage of development. Thus, we have limited experience as a company in conducting clinical trials.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cannot guarantee that any clinical trials will be initiated or conducted as planned or completed on schedule, if at all. For example, following a favorable early safety profile and notwithstanding positive interim Phase 1 results as announced in November 2025, we made the strategic decision to seek a partner for ABS-101 rather than advance it through later-stage development ourselves.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cannot be sure that submission of an IND (or foreign equivalent) will result in the FDA or other regulatory authority, as applicable, allowing clinical trials to begin in a timely manner, if at all. Moreover, even if these trials begin, issues may arise that could cause us or a regulatory authority to suspend or terminate such clinical trials. A failure of one or more clinical trials can occur at any stage of testing, and our current and future clinical trials may not be successful. If our preclinical product candidates experience delays or never advance to clinical trials, it would have an adverse effect on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order to obtain FDA approval to market a new biological product, we or our partners must demonstrate proof of safety, purity and potency or efficacy in humans. To meet these requirements we or our partners will have to conduct adequate and well-controlled clinical trials. Before we or our partners can commence clinical trials for a product candidate, we or our partners must complete extensive preclinical testing and studies that support our planned INDs in the United States. All of our internally developed programs are in early clinical or preclinical development. We cannot be certain of the timely completion or outcome of our or our partners' preclinical testing and studies and cannot predict if the FDA will accept our or our partners' proposed clinical programs or if the outcome of our or our partners' preclinical testing and studies will ultimately support the further development of our product candidates. As a result, we cannot be sure that we or our partners will be able to submit INDs or similar applications for our product candidates on the timelines we expect, if at all, and we cannot be sure that submission of INDs or similar applications will result in the FDA or other regulatory authorities allowing clinical trials to begin. Further, changes and cuts in FDA staffing have been reported as resulting in delays in the FDA’s responsiveness or in its ability to review IND submissions, or applications, issue regulations or guidance, or implement or enforce regulatory requirements in a timely fashion.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testing and studies may cause us or our partners to incur additional operating expenses. The commencement and rate of completion of preclinical studies and clinical trials for a product candidate may be delayed by many factors, including, for example: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inability to generate sufficient preclinical or other in vivo or in vitro data to support the initiation of 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delays in reaching a consensus with regulatory agencies on study design;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not allowing us to rely on previous findings of safety and efficacy for other similar but approved products and published scientific literature;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use of our product candidates could be associated with adverse side effects, adverse events or other properties or safety risks, which could delay or preclude approval, cause us or our partners to suspend or discontinue preclinical or clinical trials, abandon a product candidate, limit the commercial profile of an approved product or result in other significant negative consequences.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even if clinical trials do begin for our product candidates, our or our partners' development efforts may not be successful, and clinical trials that we or our partners conduct or that third parties conduct on our or our partners' behalf may not demonstrate sufficient safety, purity and potency or efficacy to obtain the requisite regulatory approvals for any of product candidates we develop. Even if we or our partners obtain positive results from preclinical studies or initial clinical trials, we or our partners may not achieve the same success in future trials.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or our partners experience any of a number of possible unforeseen or negative events in connection with preclinical or clinical development, regulatory approval or commercialization of product candidates generated through our platform, this could negatively affect our revenue opportunity for that program, and/or have broader deleterious effects on our reputation and future partnership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or our partners may experience numerous unforeseen events during, or as a result of, preclinical studies or any clinical trials that could delay or prevent the ability to conduct further development or obtain regulatory approval or licensure of, or commercialize, product candidates,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studies designed to enable the submission of IND applications, or other preclinical development activities, by our partners may not result in data sufficient to support the advancement of the applicable product candidates into clinical development, or our partners may abandon development activities for such product candidates prior to any IND submission for a variety of reasons;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regulatory authorities or ethical review boards, including IRBs, may not authorize commencement of a clinical trial or conduct a clinical trial at a prospective trial site;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there may be delays in reaching or failure to reach agreement on acceptable clinical trial contracts or clinical trial protocols with prospective trial sites;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or other regulatory authorities may disagree with a clinical trial design or a sponsor’s interpretation of data even after such regulatory authorities have reviewed and commented on the clinical trial design;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differences in trial design between early stage clinical trials and later-stage clinical trials may make it difficult to extrapolate the results of earlier clinical trials to later-stage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or other regulatory authorities may disagree about whether study endpoints are clinically meaningful or recommend study endpoints that require lengthy periods of observation;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number of participants, or amount of data, required to complete clinical trials may be larger than anticipated, participant enrollment in these clinical trials may be slower than anticipated or patients may drop out of clinical trials at a higher rate than anticipated;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CROs and other contracted third parties may fail to perform their duties in accordance with the study protocol or applicable laws and regulations;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changes may be made to product candidates after commencing clinical trials, which may require that previously completed stages of clinical testing be repeated or delay later stages of testing;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clinical trials may fail to satisfy the applicable regulatory requirements of the FDA or other regulatory authorities responsible for oversight of the conduct of clinical trials in other countries;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regulators may elect to impose a clinical hold, or we or our partners, governing IRBs, data safety monitoring boards or ethics committees may elect to suspend or terminate our or our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clinical research or trials for various reasons, including non-compliance with regulatory requirements or a finding that the participants are being exposed to undesirable side effects that could lead to serious adverse events or other unacceptable risks to their health or the privacy of their health information being disclosed;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cost of clinical trials of the applicable product candidates, or improvements to such product candidates, may be greater than we or our partners anticipate, causing us or our partners to delay or terminate applicable clinical development efforts;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CROs and other contracted third parties may fail to perform their duties in accordance with the relevant manufacturing and/or clinical supply agreements;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supply or quality of materials necessary to conduct clinical trials of the applicable product candidates may be insufficient or inadequate;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outcome of our or our partners’ preclinical studies and early clinical trials may not be predictive of the success of later clinical trials, and interim results of a clinical trial do not necessarily predict final results;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product candidates may be associated with negative or inconclusive results in clinical trials, and we or our partners may decide to deprioritize or abandon these partnered product candidates, or regulatory authorities may require our partners to abandon them or may impose onerous changes or requirements, which could lead to de-prioritization or abandonment;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data collected from clinical trials of product candidates that we or our partners may identify and pursue may not be sufficient to support the submission of a BLA or other submission for regulatory approval in the United States or elsewhere;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may be unable to demonstrate to the FDA or comparable foreign regulatory authorities that a product candidate’s risk-benefit ratio for its proposed indication is acceptable, or clinical trials may suggest or demonstrate that products are not safe and effective, or as safe and effective as competing therapies on the market or in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disruptions caused by a continued and prolonged public health emergency, such as the COVID-19 pandemic may increase the likelihood that we or our partners encounter such difficulties or delays in initiating, enrolling, conducting or completing planned and ongoing clinical trials. Delays of this nature could also allow competitors to bring products to market before we or our partners do, potentially impairing our or our partners’ abilities to successfully commercialize products generated using our platform technology and harming our business and results of operations. Any delays in, or suspension of, the development of the product candidates developed by us or by our partners using our technology may significantly harm our business, financial condition and prospects. Many of the factors that cause, or lead to, a delay in the commencement or completion of clinical trials may also ultimately lead to the denial of regulatory clearance, authorization or approval of partnered product candidates in development.</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Preliminary data and interim results we disclose from our clinical trials may change as more data becomes available or as we make changes to our clinical protocols or processes, and such interim results or results from earlier studies may not be predictive of the final results, or of later studies or future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from time to time disclose results from preclinical testing or preliminary data or interim results from clinical trials of our product candidates. Such results from preclinical testing, process development and manufacturing activities, and clinical studies, including interim clinical trial results as of specified data cutoff dates and results of earlier preclinical or clinical studies with similar product candidates, are not necessarily predictive of future results, including later clinical trial results. In addition, results in one indication may not be predictive of results to be expected for the same or a similar product candidate in another indication. A number of companies in the biopharmaceutical industry have suffered significant setbacks in clinical trials due to lack of efficacy or unfavorable safety profiles, notwithstanding promising results in preclinical development or earlier trials.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results of our current and future clinical trials may differ from results achieved in earlier preclinical and clinical studies for a variety of reasons,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may not demonstrate the potency and efficacy benefits observed in previous studies;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differences in study design, including differences in eligibility criteria and patient populations;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advancements in the standard of care may affect our ability to demonstrate efficacy or achieve study endpoints in our future clinical trials;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safety issues or adverse events in patients who enroll in our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From time to time, we may publish interim, “top-line,” or preliminary data from our clinical studies based on a preliminary analysis of then-available data. Preliminary or interim data from clinical trials are subject to the risk that one or more of the clinical outcomes may materially change as participant enrollment continues, the duration of treatment increases and more patient data become available. For example, we may encounter unacceptable side effects for our product candidates as patient dosing progresses in our clinical trials and additional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FDA may require us to generate additional preclinical, product, manufacturing, or clinical data as a condition to initiating and conducting any future clinical trials of our or our partners’ product candidates generated using our platform technology. Additionally, the FDA may in the future have comments, or impose requirements, on the initiation and conduct of our clinical trials or those of our partners, including trial endpoints and the protocols, processes, materials and facilities we or our partners use to manufacture our product candidates in support of clinical trials. Any requirements to generate additional data, or redesign or modify applicable endpoints, protocols, processes, materials or facilities, or other additional comments, requirements or impositions by the FDA, may cause delays in the initiation or conduct of future clinical trials for our or our partners’ product candidates and subsequent development activities,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 and to achieve revenue-generating milestones under our agreements with our partners.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Further, if the results of our clinical trials are inconclusive, or if there are safety concerns or adverse events associated with our or our partners’ product candidates, we or our partners may: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be delayed in obtaining, or unable to obtain, regulatory approval for such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be required to amend the protocols for the applicable clinical trials, perform additional nonclinical studies or clinical trials to support approval or be subject to additional post-marketing testing requirements;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approval for indications or patient populations that are not as broad as intended or desired;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approval with labeling that includes significant use or distribution restrictions or safety warnings or contraindications; or</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 the event a product candidate is approved, have regulatory authorities withdraw their approval of the product or impose restrictions on its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Even if our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priorities or interpretations by regulatory authorities may result in delays in regulatory review and approval processes or create uncertainty regarding approval pathways. If we fail to meet regulatory requirements necessary to support continued clinical development, if our clinical development activities are delayed or suspended, or if we are unable to obtain or maintain regulatory approvals with an acceptable scope, our business, prospects, financial condition and results of operations could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currently conducting and may in the future conduct clinical trials for our product candidates outside the United States, and the FDA may not accept data from such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currently evaluating ABS-201 in a clinical trial in Australia, and we expect to continue to conduct trials for our current and future product candidates internationally in the future. Conducting clinical trials in foreign jurisdictions may expose us to additional risks and uncertainties, including differences in regulatory requirements, clinical trial standards and regulatory interpretation by foreign authorities. For example, clinical trials in Australia are subject to oversight by the Therapeutic Goods Administration (TGA), as well as local human research ethics committees. Compliance with these requirements may result in delays or additional costs, and regulatory authorities may impose requirements that differ from those of the FDA. If we experience delays in initiating or conducting our clinical trials in Australia, our development timelines may be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the acceptance of data from clinical trials conducted outside the United States by the FDA may be subject to certain conditions, or the FDA may not accept such data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the FDA will accept data from trials conducted outside of the United States. If the FDA does not accept such data, it would result in the need for additional trials, which could be costly and time-consuming, and which may result in any product candidates that we develop being delayed or not receiving approval for commercialization. Additionally, recent policy proposals in the United States may make acceptance by the FDA or inclusion in a marketing application of foreign data more difficult or costly.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Conducting clinical trials in Australia may expose us to operational and logistical challenges that could delay our development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Clinical trials conducted in Australia may involve additional operational and logistical challenges, including coordinating activities across international sites, managing clinical trial supply chains, and complying with foreign regulatory requirements. In addition, geopolitical events, public health emergencies, travel restrictions, or other factors could disrupt trial operations, participant enrollment or monitoring activities. Any such delays or disruptions could increase the cost of our clinical trials and delay the development of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Changes in Australian regulatory requirements or ethics committee processes could delay our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Clinical trials in Australia are subject to approval by local human research ethics committees and may also involve notification or review by the TGA. Changes in regulatory requirements, review procedures or timelines could delay the initiation or continuation of our clinical trials. If regulatory authorities or ethics committees impose additional requirements or determine that our trials do not comply with applicable regulations or guidelines, we may be required to modify or suspend our trials, which could adversely affect our development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or our partners encounter difficulties enrolling patients in clinical trials of product candidates developed using our Integrated Drug Creation platform, our and our partners’ clinical development activities could be delayed or otherwise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required to identify and enroll a sufficient number of patients with the disease under investigation for each of our planned clinical trials of internally developed product candidates, and our partners are subject to the same requirements with respect to product candidates they are developing. We or our partners may not be able to identify and enroll a sufficient number of patients, or those with required or desired characteristics and who meet specified enrollment criteria, in a timely manner. In addition, we and our partners may face competition from other clinical trials of product candidates being developed by our competitors in the same therapeutic areas, and potential patients who might be eligible for enrollment in one of our or our partners’ clinical trials may instead choose to enroll in a trial being conducted by a competitor. We and our partners may also face an unwillingness of investigative sites to participate in our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ability, and the ability of our partners, to enroll patients in clinical trials of product candidates developed using our platform technology is affected by factors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identify clinical trial sites and recruit clinical trial investigators with the appropriate capabilities, competencies and experience;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open clinical trial sites;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identify, solicit and recruit a sufficient number of patients;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severity of the disease under investigation;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design of the clinical trial and whether the FDA agrees to the design and implementation of the trial;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size and nature of the patient populations to be investigated in the applicable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eligibility criteria for the clinical trials in question;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clinicians’ and patients’ perceptions as to the potential risks and benefits of the product candidate under study, including any perceived risks associated with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changing medical practices or guidelines related to the indications we or our partners are investigating;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availability of competing therapies and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efforts to facilitate timely enrollment in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availability of time and resources at the institutions at which our or our partners’ clinical trials will be conducted, including any constraints on resources, or policies and procedures implemented, at hospitals and clinical trial sites as a result of any public health crisis;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monitor patients adequately during and after treatment;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proximity and availability of clinical trial sites for prospective patients.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clinical trial sites may need to delay or pause participant enrollment or treatment in clinical trials as a result of public health crises, supply chain shortages or a variety of factors beyond our control. The extent and duration of such delays and disruptions, and the overall impact on the timing and conduct of our or our partners’ clinical trials, are uncertain. If we or our partners have difficulties enrolling a sufficient number of patients to conduct clinical trials as planned, we or our partners may need to delay or terminate ongoing or planned clinical trials, which would have an adverse effect on our business, prospects, financial condition, results of operations, and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markets in which we operate, including those for Integrated Drug Creation platform technology and our Internally Developed Programs, are highly competitive, and if we are unable to compete effectively, our business and prospects could be adversely affected..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face competition from pharmaceutical and biotechnology companies that are developing therapeutics that address the same disease targets and/or indications addressed by our internally developed programs. Competitors may obtain FDA or other regulatory approval for their products more rapidly or earlier than us, which could result in our competitors establishing a strong market position before we are able to enter the market. Competition for our active internally developed programs may include: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ABS-201 in AGA</w:t>
      </w:r>
      <w:r>
        <w:rPr>
          <w:rFonts w:ascii="Frutiger LT 55 Roman;sans-serif" w:hAnsi="Frutiger LT 55 Roman;sans-serif"/>
          <w:b w:val="false"/>
          <w:color w:val="000000"/>
          <w:sz w:val="20"/>
        </w:rPr>
        <w:t>: Existing FDA-approved treatments for AGA include oral minoxidil, oral finasteride, oral dutasteride, and topical minoxidil, which are currently established as standard of care despite their limitations. We are aware of several drug candidates that are in clinical development for AGA including Hope Medicine’s HMI-115, Veradermics’ VDPHL01, Pelage Pharmaceuticals’ PP405, and Cosmo Pharmaceuticals’ Clascoterone.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ABS-201 in Endometriosis</w:t>
      </w:r>
      <w:r>
        <w:rPr>
          <w:rFonts w:ascii="Frutiger LT 55 Roman;sans-serif" w:hAnsi="Frutiger LT 55 Roman;sans-serif"/>
          <w:b w:val="false"/>
          <w:color w:val="000000"/>
          <w:sz w:val="20"/>
        </w:rPr>
        <w:t>: Newer development candidates for non-hormonal antibody-based therapies for endometriosis currently include Hope Medicine’s HMI-115, Chugai Pharmaceuticals’ AMY-109, and GenSci’s Genakumab as well as other non-antibody-based clinical trials focused on non-hormonal pain treatments.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Integrated Drug Creation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Integrated Drug Creation platform comprises, in part, cutting edge generative AI models aimed at designing differentiated antibody-based therapeutics, including against hard-to-drug targets. There are multiple potential competitors developing technologies that seek to improve target identification and drug design or discovery.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 specifically, in the field of AI-based drug design and discovery we may face competition from companies attempting to use AI to design therapeutics. Representative examples include Generate Biomedicines, Inc. and Xaira Therapeutics, Inc., among others. In the future we may face competition from companies currently offering adjacent technology (e.g. AI-enabled small molecule design) that may seek to develop antibody design capabilities. Representative examples include Recursion Pharmaceuticals, Inc., and Isomorphic Labs Limited, among others. Moreover, other pharmaceutical and biotechnology companies seeking to develop AI capabilities for biologic drug design may also pose competition.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face competition from entities that have made substantial investments in developing treatments for the therapeutic indications which our internal programs and partnered programs target. These competitors may include large and specialty pharmaceutical and biotechnology companies.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partners may also elect to develop their processes on in-house systems, or using other methods, rather than implementing our technologies and may decide to stop using our technologies. These companies are likely to exhaust all internal alternatives to our technology before adopting our technologies. In addition, there are many large established companies in the life science technology market that we do not currently compete with but that could develop systems, technologies, tools or other products that will compete with us in the future. These large established companies have substantially greater financial and other resources than us, including larger research and development organizations or more established marketing and sales forces.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competitors and potential competitors may enjoy a number of competitive advantages over us. For example, these may include: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longer operating histories;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larger partner bases;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brand recognition and market penetration;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financial resources;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technological and research and development resources;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better system reliability and robustness;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business development capabilities;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better established, larger scale and lower cost manufacturing capabilities.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a result, our platform-based competitors and potential competitors may be able to respond more quickly to changes in partner requirements, devote greater resources to the development, promotion and sale of their platforms or solutions than we can, or sell their platforms or solutions, or offer solutions competitive with our Integrated Drug Creation platform and solutions at prices designed to win significant levels of market share. In addition, we may encounter challenges in marketing our solutions with our pricing model, which is structured to capture the potential downstream revenues associated with product candidates that were discovered using our platform. Our partners and potential partners may prefer one or more pricing models employed by our competitors that involve upfront payments rather than downstream revenues. We may not be able to compete effectively against these organizations.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technology and platform development than we can. If we are unable to compete successfully against current and future competitors, we may be unable to increase market adoption of our platform technologies for the biologic drug discovery and cell line development, which could prevent us from increasing our revenue or achieving and sustaining profitability.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face competition from entities that have made substantial investments into the rapid development of novel treatments for the therapeutic indications in which we are engaged in internally developed programs and partnered programs, including large and specialty pharmaceutical and biotechnology companies.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discovery and development of therapies is highly competitive. Many of our competitors have significantly greater resources and experience than we do and we or our partners may not be able to successfully compete in therapeutic development. We will likely face substantial competition from multiple sources, including large and specialty pharmaceutical and biotechnology companies, hospitals and clinics, academic research institutions and governmental agencies and public and private research institutions, some of which have more advanced product candidates. We anticipate that we will continue to face increasing competition as new therapies and combinations thereof, and related data, emerge.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compete successfully, we and our partners must demonstrate that the relative cost, method of administration, safety, tolerability or efficacy of the related product candidates provides a better alternative to existing and future therapies and, we must do the same with respect to any future internally developed product candidates. Our commercial opportunity and likelihood of success will be reduced or eliminated if these product candidates are not ultimately demonstrated to be safer, more effective, more conveniently administered, or less expensive than the then current standard of care. Furthermore, even if these product candidates demonstrate meaningful improvements in these attributes, acceptance of our products may be inhibited by the reluctance of physicians to switch from existing therapies to our products, or if physicians choose to reserve our products for use in limited circumstances.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market for our platform, including potential partners and potential investors, may be skeptical of the viability and benefits of our Integrated Drug Creation platform because it is based on novel and complex synthetic biology and AI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market for our Integrated Drug Creation platform, including potential partners and potential investors, may be skeptical of the viability and benefits of our technology platform because it is based on novel and complex synthetic biology and AI technologies. There can be no assurance that our technologies will be understood, approved, or accepted by potential partners and potential investors or that we will be able to enter into new partnerships with new or existing partners. The synthetic biology and AI-powered drug discovery markets are relatively new, and potential partners may be hesitant to allocate resources in relatively unproven fields. If we are unable to convince these potential partners of the utility and value of our technologies or that our technologies are superior to the technologies they currently use, we will not be successful in entering these markets and our business and results of operations will be adversely affected. If potential investors are skeptical of the success of our technologies, our ability to raise capital and the value of our stock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and expect to continue to rely on third parties to conduct our preclinical studies and clinical trials. If those third parties do not perform as contractually required, fail to satisfy legal or regulatory requirements, miss expected deadlines or the relationship terminates prematurely, our internally developed programs could be delayed, more costly or unsuccessful, and such programs may never obtain regulatory approval or commercialization.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relied and intend to rely in the future on third-party clinical investigators, contract development and manufacturing organizations (CDMOs), CROs, and clinical data management organizations to conduct, supervise and monitor preclinical studies and any eventual clinical trials of our current or future internally developed programs. Because we currently rely and intend to continue to rely on these third parties, we will have less control over the timing, quality and other aspects of preclinical studies and any eventual clinical trials than if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reliance on these third parties for development activities will reduce our control over these activities. Nevertheless, we will remain responsible for ensuring that each of our preclinical studies are conducted in accordance with good laboratory practices and that our clinical trials are conducted in accordance with GCPs. Moreover, our business may be significantly impacted if our CROs, clinical investigators or other third parties violate federal or state healthcare fraud and abuse or false claims laws and regulations or healthcare privacy and security laws.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event we are required to repeat, extend, delay or terminate our preclinical or clinical development activities due to one or more third parties not successfully carrying out its contractual duties, meeting expected deadlines, or conducting development activities in accordance with regulatory requirements or our stated protocols, we may not be able to achieve, or may be delayed in achieving, product development milestones, including our internal timelines or certain regulatory requirements. As a result, our results of operations and the commercial prospects for our internally developed programs would be harmed, our costs could increase, and our ability to generate revenue and platform validation could be delayed. To the extent we are unable to successfully identify and manage the performance of third-party service providers in the future, our business may be materially and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from time to time we have relied upon, and may continue to rely upon, third parties that are based in jurisdictions outside the United States, including China. In December 2025, as part of the Fiscal Year 2026 National Defense Authorization Act, the BIOSECURE Act was enacted and restricts U.S. federal agencies from entering into certain contracts and providing certain grants or loans in connection with the procurement or use of biotechnology equipment or services provided by entities designated as “biotechnology companies of concern,” and also restricts federal contracting, grants, and loans to entities that use such biotechnology equipment or services in performance of covered federal awards. Although earlier legislative proposals commonly referred to as the “BIOSECURE Act” identified certain China-based biotechnology service providers by name, the enacted law contemplates an implementing process under which the Office of Management and Budget is expected to publish an initial list of biotechnology companies of concern within one year of enactment, and implementing guidance and procurement rule updates are expected to follow. If any third parties upon whom we rely, including for example, WuXi entities, are designated in the future, or if our current or prospective partners, customers, or counterparties change their policies or contractual requirements in response to the BIOSECURE Act or related U.S. national security measures, we could face supply-chain disruptions, delays, increased costs, constraints on our ability (or our partners’ ability) to perform under certain government-funded projects, or the need to transition to alternative suppliers or service providers, any of which could adversely affect our business, results of operations, and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any of our relationships with these third parties terminate for any reason, including due to involuntary termination, regulatory or other compliance requirements, or strategic reprioritization, we may not be able to enter into alternative arrangements or do so on commercially reasonable terms. Switching or adding additional contractors requires additional resources and demands management time and focus. In addition, there is a natural transition period when a new third party commences work. As a result, delays could occur, which could compromise our ability to meet our internal development timelines. In addition, if an agreement with any of our partners terminates, our access to technology and intellectual property licensed to us by that partner may be restricted or terminate entirely, which may delay our continued development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internally developed programs utilizing the partner’s technology or intellectual property or require us to stop development of those internally developed programs completely.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could experience clinical supply and manufacturing problems that result in delays in the development, approval or commercialization of our product candidates or otherwise harm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manufacturing process used to produce antibodies may be complex. Several factors could cause production interruptions, including inability to develop appropriate manufacturing processes, equipment malfunctions, facility contamination, raw material shortages or contamination, natural disasters, including pandemics, disruption in utility services, human error or disruptions in the operations of our suppliers, including acquisition of a supplier by a third party or declaration of bankruptcy. The expertise required to manufacture our product candidates may be unique to a particular third-party contract manufacturing organization, and as a result, it would be difficult and time consuming to find an alternative third-party contract manufacturing organization. Failure or process defects in any of the interrelated systems at either our manufacturing facility or those of our third-party manufacturers, could adversely impact our ability to manufacture and supply cell therapy product candidates and certain components thereof intended for research, clinical and, if approved, commercial production. In addition, we may rely on third-party contract manufacturers outside the United States for certain components of our product candidates, and may be subject to importation regulations that may affect our ability to manufacture or increase the cost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product candidates will require processing steps that are more complex than those required for most small molecule drugs. Moreover, unlike small molecules, the physical and chemical properties of biologics such as antibody-based therapeutics generally cannot be fully characterized. As a result, assays of the finished product may not be sufficient to ensure that the product will perform in the intended manner. Accordingly, we will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or other supply disruptions. If microbial, viral or other contaminations are discovered in our product candidates or in the manufacturing facilities in which our product candidates are made, production at such manufacturing facilities may be interrupted for an extended period of time to investigate and remedy the contamination. We may encounter problems achieving adequate quantities and quality of clinical grade materials that meet FDA, the EMA or other applicable standards or specifications with consistent and acceptable production yields and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also may encounter problems hiring and retaining directly or through third-party contract manufacturing organizations the experienced scientific, quality assurance, quality control and manufacturing personnel needed to operate our manufacturing processes, which could result in delays in production or difficulties in maintaining compliance with applicable regulatory requirements. Any problems in our supply chain, manufacturing process or facilities could result in delays in ongoing or planned clinical trials and increased costs, and could make us a less attractive collaborator for potential partners, including larger pharmaceutical companies and academic research institution.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do not achieve our projected development goals in the timeframes we announce and expect, the clinical development of our programs, commercialization of our programs, and validation of our Integrated Drug Creation platform may be delayed and our expenses may increase and, as a result, our stock price may decline.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From time to time, we estimate the timing of the anticipated accomplishment of various scientific, clinical, regulatory and other product development goals, which we sometimes refer to as milestones.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milestones may include the commencement or completion of preclinical studies and clinical trials, as well as the submission of regulatory filings. From time to time, we may publicly announce the expected timing of achieving certain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or the validation of our platform technologies based on anticipated achievement of these milestones,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medical insurance coverage and reimbursement status of newly approved therapeutics is uncertain. Failure to obtain or maintain adequate coverage and reimbursement for current or future products and services could limit our partners’ ability to successfully commercialize product candidates, which would decrease our ability to generate 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availability and extent of reimbursement by governmental and private payors is essential for most patients to be able to afford any antibody-based therapeutics generated using our Integrated Drug Creation platform. In addition, because the product candidates we generate may represent new classes of treatments for diseases, we and our partners cannot accurately estimate how such future antibody-based therapeutics would be priced, whether reimbursement could be obtained or any potential revenue generated. Sales of such antibody-based therapeutics will depend substantially, both domestically and internationally, on the extent to which the costs of such antibody-based therapeutics are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our partners may not be able to successfully commercialize some antibody-based therapeutics generated with our technology. Even if coverage is provided, the approved reimbursement amount may not be high enough to allow our partners to establish or maintain pricing sufficient to realize an adequate return on their investment in such antibody-based therapeutics, and may lead to discontinuation or deprioritization of development, marketing and sales efforts for such products. Changes in the reimbursement landscape may occur, which are outside of our control, and may impact the commercial viability of our drug creation services and/or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significant uncertainty related to the insurance coverage and reimbursement of newly cleared, authorized or approved antibody-based therapeutics in the United States and other jurisdictions. Due to the trend toward value-based pricing and coverage, the increasing influence of health maintenance organizations and additional legislative changes, we expect our partners to experience pricing pressures on antibody-based therapeutics generated using our Integrated Drug Creation platform that our partners may commercialize. The downward pressure on healthcare costs in general, particularly novel therapeutics, has become very intense. As a result, increasingly high barriers are being erected to the entry of new products, which would negatively impact our ability to generate revenues.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For more information about third-party coverage and reimbursement for pharmaceutical products, see the section of our Annual Report on Form 10-K for the year ended December 31, 2025 titled, “Business—Government Regulation—Biopharmaceutical Coverage and Reimbursement.”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pharmaceutical industry is intensely competitive. If we are unable to compete effectively with existing drugs, new treatment methods and new technologies, we may be unable to commercialize successfully any drugs that we develop</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much greater financial, technical and human resources than we have at every stage of the discovery, development, manufacture and commercialization of products;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more extensive experience in designing and conducting preclinical studies and clinical trials, obtaining regulatory approvals, and manufacturing, marketing and selling pharmaceutical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product candidates that are based on previously tested or accepted technologies;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products that have been approved or are in late stages of development; and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collaborative arrangements in our target markets with leading companies and research institutions.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will face intense competition from drugs that have already been approved and accepted by the medical community for the treatment of the conditions for which we may develop products.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 Our competitors may develop or commercialize products with significant advantages over any products we are able to develop and commercialize based on many different factors, including: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safety and effectiveness of our products relative to alternative products, if any;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ease with which our products can be administered and the extent to which patients accept relatively new routes of administration;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timing and scope of regulatory approvals for these products;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availability and cost of manufacturing, marketing and sales capabilities;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price;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more extensive coverage and higher levels of reimbursement; and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patent position.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competitors may therefore be more successful in developing and/or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or third parties with whom we do business fail to comply with applicable healthcare laws and regulations, we could be subject to enforcement actions and other consequences.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business is subject to extensive federal, state, local, and foreign healthcare laws and regulations that may constrain the financial arrangements and relationships through which we conduct our operations, including our relationships with third-party payors, healthcare providers, and other third parties. These laws and regulations include, among others, U.S. federal and state anti-kickback, fraud and abuse, and false claims laws; healthcare transparency and reporting requirements (including reporting of payments and other transfers of value to certain healthcare professionals and institutions); certain government price reporting and drug pricing transparency requirements; and, to the extent applicable, patient privacy and data protection and anti-bribery laws. Many of these laws are broad, and their scope and enforcement are subject to evolving interpretation and enforcement priorities.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our operations, or the operations of our collaborators, vendors, service providers, or other third parties with whom we do business, are found to be in violation of applicable healthcare laws or regulations, we could be subject to significant consequences, which may include administrative, civil, and criminal penalties; damages, fines, and disgorgement; reputational harm; the curtailment or restructuring of operations; enhanced compliance obligations (including integrity oversight and reporting); and exclusion from participation in federal and state healthcare programs, and responsible individuals may be subject to imprisonment. Any investigation or enforcement action, even if ultimately resolved favorably, could be costly, could divert management attention, and could materially adversely affect our business, financial condition, results of operations, and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For additional information, see the section of our Annual Report on Form 10-K for the year ended December 31, 2025 titled, “Business—Government Regulation—Healthcare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Healthcare reform efforts aimed at lowering the price of biopharmaceutical products may impact our ability to maintain sufficient profits.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Payors, whether domestic or foreign, or governmental or private, are developing increasingly sophisticated methods of controlling healthcare costs and those methods are not always specifically adapted for new technologies. In both the United States and certain foreign jurisdictions, there have been a number of legislative and regulatory changes to the health care system that could impact our ability to sell our products profitably, including through increased pricing and reimbursement pressure, expanded manufacturer discount and rebate obligations, and other cost-containment measures affecting access to and payment for biopharmaceutical products. In particular, in 2010, the Patient Protection and Affordable Care Act, as amended by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If efforts to contain the price of biopharmaceutical products are successful, the magnitude of milestone payments and royalties we would expect to receive in connection with our partners’ future prioritization and investment in developing novel biologics may be impacted.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growing legislative and enforcement interest in the United States with respect to drug pricing practices has resulted in several U.S. Congressional inquiries and federal and state legislation designed to, among other things, bring more transparency to drug pricing, reduce the cost of prescription drugs, and review the relationship between pricing and manufacturer patient programs. These initiatives, and other future reforms, may increase pricing and reimbursement pressure on manufacturers, expand discount and rebate obligations, constrain permissible pricing practices, increase reporting and compliance burdens, and otherwise adversely affect the commercial viability of biopharmaceutical products. We cannot predict the likelihood, nature, timing, or extent of future healthcare reform initiatives, executive actions, or other policy changes; however, ongoing reforms and cost-containment measures could materially and adversely affect our business, financial condition, results of operations, and prospects. For additional information, see the section of our Annual Report on Form 10-K for the year ended December 31, 2025 titled, “Business—Government Regulation—Healthcare Reform.”</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Existing regulatory policies may change, and additional government regulations may be enacted that could prevent, limit or delay regulatory approval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June 2024, the U.S. Supreme Court overruled the Chevron doctrine, which gave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Disruptions to the operations of the FDA, the SEC or other government agencies, including due to funding shortages, government shutdowns, policy changes or staffing reductions, could delay regulatory reviews, approvals or other governmental actions on which our business depends, which could adversely affect our business.</w:t>
      </w:r>
    </w:p>
    <w:p>
      <w:pPr>
        <w:pStyle w:val="TextBody"/>
        <w:bidi w:val="0"/>
        <w:spacing w:lineRule="auto" w:line="26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that may otherwise affect the FDA’s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43</w:t>
                      </w:r>
                    </w:p>
                  </w:txbxContent>
                </v:textbox>
                <w10:wrap type="none"/>
              </v:rect>
            </w:pict>
          </mc:Fallback>
        </mc:AlternateContent>
      </w:r>
    </w:p>
    <w:p>
      <w:pPr>
        <w:pStyle w:val="TextBody"/>
        <w:bidi w:val="0"/>
        <w:spacing w:before="0" w:after="160"/>
        <w:jc w:val="left"/>
        <w:rPr/>
      </w:pPr>
      <w:r>
        <w:rPr/>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Disruptions at the FDA and other federal agencies, including substantial leadership departures, personnel cuts, and policy changes, may also slow the time necessary for new drugs to be reviewed and/or approved by necessary government agencies, which would harm our business. Changes and cuts in FDA staffing have been reported as resulting in delays in the FDA’s responsiveness or in its ability to review IND submissions or applications, issue regulations or guidance, or implement or enforce regulatory requirements in a timely fashion.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Similar consequences would also result in the event of another significant shutdown of the federal government. For example, over the last several years, including from October 1, 2025 to November 12, 2025, the U.S. government has shut down several times and certain regulatory agencies, such as the FDA and the SEC, have had to furlough critical FDA, SEC and other government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Such changes could significantly impact the ability of the FDA to timely review and take action on our regulatory submissions, which could have a material adverse effect on our business, including, for example, INDs placed on clinical holds or delayed new drug approvals. If the FDA is constrained in its ability to engage in oversight and implementation activities in the normal course, our business may be negatively impacted.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ongoing uncertainty regarding potential changes to the requirements, policies and priorities of the FDA and other regulatory authorities with jurisdiction over our product candidates and any products for which we may seek approval. Changes in governmental policies, agency priorities, funding levels or personnel at regulatory agencies could affect the agencies’ ability to provide timely guidance, review regulatory submissions or approve product candidates. For example, reductions in staffing levels or other operational changes at regulatory agencies could result in delays in our ability to obtain regulatory feedback or approvals for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federal, state or other governmental authorities may adopt new laws, regulations, policies or guidance that affect the development, approval, manufacturing or commercialization of therapeutic products. Such changes could create additional regulatory requirements, increase the cost or complexity of development, or otherwise adversely affect our ability to develop and obtain approval for our product candidates. Any such changes could have a material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expect to make significant investments in our continued research and development of new technology, which may not be successful.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seeking to expand the scope of our capabilities, which may or may not be successful. This includes, but is not limited to, drug discovery, and application of AI across our Integrated Drug Creation platform. We expect to incur significant expenses to advance these research and development efforts or to invest in, or acquire complementary technologies, but these efforts may not be successful. For instance, we have limited experience with the discovery and development of antibody-based therapeutics. Additional development will be required for the routine and robust use of these technologies in both our internally developed and partnered programs. Through the course of additional technology development, significant unanticipated challenges may arise that adversely affect our future internally developed programs and partnership prospects. We continue to invest in the development and identification of new technologies to further broaden and deepen our capabilities and expertise in AI-powered drug creation and integrate generative AI deep learning technology and computational antibody and target discovery technology into our Integrated Drug Creation platform to shorten drug discovery timelines. Our long-term goals for this technology, such as constructing deep learning models capable of in silico target identification and drug and cell line design, continue to require significant investment and long development timelines and may ultimately never fully materialize.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Developing new technologies is a speculative and risky endeavor. Technologies that initially show promise may fail to achieve the desired results or may not achieve acceptable levels of analytical accuracy or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utility. We may need to alter our technologies in development before we identify a potentially successful technology. Technology development is expensive, may take years to complete and can have uncertain outcomes. Failure can occur at any stage of the development. Additionally, development of any technology may be disrupted or made less viable by the development of competing technologies, and changes in the industry in which our technologies are applied could obsolete our technologies. New potential technologies may fail any stage of development or commercialization and if we determine that any of our current or future technologies are unlikely to succeed, we may abandon them without any return on our investment. If we are unsuccessful in developing or acquiring additional technologies, our potential for growth may be impaired.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industries in which we operate are characterized by significant enhancements and evolving industry standards. As a result, our partners’ needs are rapidly evolving. If we do not successfully innovate and invest in new technologies, including within the field of AI, our platform may become less competitive, we may fail to advance our internally developed programs, and our partners could move to new technologies or engage in drug creation activities themselves. Without the timely introduction of technological advancements, our technologies will likely become less competitive over time, in which case our competitive position and results of operations could suffer. To the extent we fail to timely introduce new and innovative technologies, adequately predict our partners’ needs or fail to obtain desired levels of market acceptance, our business may suffer and our results of operations could be adversely affected.</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Our Business Strategy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commercial success depends on the technological capabilities of our Integrated Drug Creation platform and the advancement of our 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utilize our Integrated Drug Creation platform to identify promising opportunities for development and potential commercialization by us and our partners. As a result, the quality and sophistication of our Integrated Drug Creation platform and technologies are critical to our ability to conduct our drug creation activities and to generate more promising product candidates and cell lines and to shorten and lower the costs of therapeutic development for us and our existing and potential partners, as compared to other methods.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utilize our Integrated Drug Creation platform to identify and design product candidates for our Internally Developed programs and, to a lesser extent, our Partnered Programs (i.e. programs developed in collaboration with third parties). As a result, the performance and capabilities of our Integrated Drug Creation platform and related technologies are important to our ability to identify and advance product candidates for our internal programs. If our platform does not perform as expected, or if we are unable to continue to develop and refine our platform technologies, our ability to identify, develop and advance product candidates for our internally developed programs could be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particular, our business depends, among other things, 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successfully identify and design product candidates for our internally developed programs using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our internally developed product candidates through preclinical and clinical development         and, if approved, commercialization;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develop, refine and validate our generative AI models and platform technologies to support product candidate discovery and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maintain the reliability, scalability and performance of our Integrated Drug Creation platform and related technologies;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generate and analyze sufficient biological data to support the continued training and improvement of our AI models;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adapt our assays, screening technologies and biological systems to support the discovery and development of product candidates across different targets and therapeutic modalities;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develop and scale manufacturing and other processes to support research, preclinical and clinical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and maintain regulatory approvals for any product candidates that we or our collaborators develop;</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compete effectively with other companies that are developing technologies, platforms or therapeutics that may compete with our platform or product candidates;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invest in and enhance our research and development capabilities to support the advancement of our 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can be no assurance that we will successfully address any of these or other factors that may affect the market acceptance of our Integrated Drug Creation platform or our technology. If we are unsuccessful in achieving and maintaining market acceptance of our Integrated Drug Creation platform, our business, financial condition, results of operations and prospects could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substantially dependent on the successful application of our Integrated Drug Creation platform to identify, design and advance product candidates for our internally developed programs. Our ability to generate and progress these programs, and in some cases enter into potential collaboration or licensing arrangements for further development, depends in part on the performance and continued development of our platform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development of antibody-based therapeutics is capital intensive, and our success depends in significant part on our ability to apply our Integrated Drug Creation platform to identify, design and advance product candidates for our internally developed programs. We have only recently expanded the application of our Integrated Drug Creation platform into antibody therapeutic discovery. In order to realize the potential benefits of our platform, we will need to continue advancing its capabilities and successfully develop and progress our internally developed programs through preclinical and clinical development. In some cases, we may seek to enter into collaboration or licensing arrangements with third parties for the further development of certain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future growth prospects will depend in part on our ability to continue leveraging our Integrated Drug Creation platform, together with our proprietary libraries, data sets and related technologies, to support the discovery and development of product candidates. However, we may not be able to demonstrate that our platform will successfully identify or generate product candidates suitable for further development, or that it will provide advantages over other drug discovery approaches.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are unable to continue developing and enhancing our platform technologies or successfully advance product candidates identified using our platform, we may be unable to expand our pipeline of internally developed programs or progress them through development. Any such failure could have a material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although we may enter into collaboration or licensing arrangements for certain programs, we may not be able to identify suitable partners or enter into such arrangements on acceptable terms, if at all. Any payments under such arrangements, including upfront payments, milestone payments or royalties, would depend on the successful development, regulatory approval and commercialization of product candidates, which may not occur. As a result, our operating results may vary significantly from period to period and may be difficult to predict.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partnership strategy significantly depends on the eventual approval and commercialization of product candidates developed under our partnerships for which we may have no control over the clinical development plan, regulatory strategy or commercialization efforts.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partnership strategy depends on the eventual progression of biologic product candidates discovered or initially developed utilizing our Integrated Drug Creation platform into clinical trials and commercialization. This requires us to attract partners and enter into agreements with them that contain obligations for the partners to pay us milestone payments as well as royalties on sales of approved products for the product candidates that they develop and were generated utilizing our Integrated Drug Creation platform. Given the nature of our relationships with our partners and future partners, we often do not fully control the progression, clinical development, regulatory strategy or eventual commercialization, if approved, of these partnered product candidates. As a result, our future success and the potential to receive milestones and royalties are significantly dependent on our partners’ efforts, over which we have little control. If a partner determines not to proceed with the future development of a product candidate discovered or initially developed utilizing our Integrated Drug Creation platform, if it implements a clinical or regulatory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that ultimately does not enable the further development, approval or commercialization of the product candidate, or if we cannot find a partner to advance an internally developed program, we will not receive the benefits of our partnerships, which may have a material and adverse effect on our operations.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antibody therapeutic development is inherently uncertain and very few product candidates ultimately progress through clinical development and receive approval for commercialization. See the risk factor section titled, “Risks Related to Biologic Drug Development” for additional information related to the risks of biologic drug development. If our partners do not receive regulatory approval for a sufficient number of product candidates originating from our Integrated Drug Creation platform, we may not be able sustain our business model.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While as a general matter we intend to periodically report on the status of our business development initiatives, including anticipated next steps, we may not provide forward-looking guidance on the timing of those next steps. In addition, we do not control the timing of disclosure by our partners of any milestones or other information related to product candidates generated using our Integrated Drug Creation platform. Any disclosure by us or our partners of data or other information regarding any such product candidates that is perceived as negative may have a material adverse impact on our stock price or overall valuation. Our stock price may also decline as a result of negative results from any eventual clinical trial, including adverse safety events, involving any product candidate that is subject to one of our partnerships.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revenue under our partnered programs for any particular period, or on an absolute basis, can be difficult to forecast.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Because of the complexities and long development timelines inherent in the biologic drug development business, it is difficult to predict the timing of payments under our drug creation and other partner agreements. In particular, payments under our drug creation agreements are subject to the achievement of project milestones and our partners’ decisions to initiate or continue the drug creation work, and any future downstream payments with respect to product candidates generated using our Integrated Drug Creation platform will be subject to our partners’ advancement of the product candidates, over which we have no control. As a result, our revenue for any particular period can be difficult to forecast. Our revenue may grow at a slower rate than in past periods or even decline on a year-over-year basis. Because of these factors, our operating results could vary materially from quarter to quarter from our forecasts. Also, due to the limited probability of success for advancement of a product candidate by a partner at any given stage of development and the unpredictability of when a partner may choose to continue development of a product candidate and whether any milestone payments will be due to us, our revenue may be difficult to forecast on an absolute basis.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Additionally, we recognize revenue either as we perform our drug creation activities, upon completion of performing our drug creation activities or upon achieving certain licensing, clinical, regulatory, and commercialization milestones. As a result, much of our revenue is generated from agreements entered into during previous periods. Consequently, a decline in demand for our platform, a decline in new or renewed business in any one quarter or any delays in the achievement, or any failure to achieve, development, regulatory and commercial milestones by our partners with respect to product candidates generated using our platform, may not significantly reduce our revenue for that quarter but could negatively affect our revenue in future quarters. Our revenue recognition model also makes it difficult for us to rapidly increase our revenue through increased operations in any period, as revenue from partners is recognized over the course of their drug development and commercialization efforts.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failure of our drug creation partners to meet their contractual obligations to us could adversely affect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reliance on our partners poses a number of additional risks, including the risk that they may not perform their contractual obligations to us to our standards, in compliance with applicable legal or contractual requirements, in a timely manner or at all; they may not maintain the confidentiality of our proprietary information; and disagreements or disputes could arise that could cause delays in, or termination of, the research, development or commercialization of products generated using our platform or result in litigation or arbitration.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certain of our partners are large, multinational organizations that run many programs concurrently, and we are dependent on their ability to accurately track and make milestone payments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pursuant to the terms of our agreements with them. Any failure by them to inform us when milestones are reached and make related payments to us could adversely affect our results of operations.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some of our future partners may be located in markets subject to political and social risk, armed conflict, corruption and infrastructure problems, and could be subject to country-specific privacy and data security risk as well as burdensome legal and regulatory requirements. Any of these factors could adversely impact their financial condition and results of operations, which could impair their ability to meet their contractual obligations to us and have a material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partners may not achieve projected discovery and development milestones and other anticipated key events in the expected timelines or at all, which could have an adverse impact on our business and our anticipated revenue.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From time to time, we may make public statements regarding the expected timing of certain milestones and key events, as well as regarding developments and milestones under our partnerships, to the extent that our partners have publicly disclosed such information or permit us to make such disclosures. Certain of our partners may in the future make statements about their goals and expectations for partnerships with us. The actual timing of these events can vary dramatically due to a number of factors such as delays or failures in our or our current and future partners’ drug discovery and development programs, the amount of time, effort, and resources committed by us and our current and future partners, and the numerous uncertainties inherent in the development of drugs. Additionally, to date, none of our partners has successfully completed a regulatory submission, such as an IND application or BLA, for a product candidate generated using our Integrated Drug Creation platform. There can be no assurance that our partners’ current and future programs will advance or be completed in the time frames we or they expect. If our partners fail to achieve one or more of these milestones or other key events as planned, our business could be materially adversely affected and we may never receive the anticipated revenues from these partnerships.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partners have significant discretion in determining when and whether to make announcements, if any, about the status of our partnerships, including about clinical developments and timelines for advancing partnered programs, and the price of our common stock may decline as a result of announcements of unexpected or negative results or developments.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partners have significant discretion in determining when and whether to make announcements about the status of our partnerships, including about preclinical and clinical developments and timelines for advancing product candidates generated using our Integrated Drug Creation platform. We do not plan to disclose the development status and progress of individual product candidates of our partners, unless and until those partners do so first. Our partners may wish to report such information more or less frequently than we expect, or they may not report such information at all, in which case we would not report that information either, unless material to our financial statements. In addition, if a partner chooses to announce a partnership with us, there is no guarantee that we will receive payments related to partner program revenue in that quarter or even the following quarter, as such payments are only payable to us in accordance with the terms of the agreements governing such partnerships. The price of our common stock may decline as a result of the public announcement of unexpected results or developments in our partnerships, or as a result of our partners withholding such information.</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Risks Related to Our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on a limited number of suppliers for laboratory equipment and materials and may not be able to find replacements or transition to alternative suppliers on a timely basis, or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rely on a limited number of suppliers to provide certain consumables and equipment that we use in our laboratory operations, as well as reagents and other laboratory materials involved in the development of our technology. Fluctuations in the availability and price of laboratory materials and equipment could have an adverse effect on our ability to meet our drug creation activity timelines and requirements for our internally developed programs or our drug creation goals with our partners and thus our results from operations as well as future partnership opportunities. An interruption in our laboratory operations or technology transfer activities could occur if we encounter delays, quality issues or other difficulties in securing these consumables, equipment, reagents or other materials, and if we cannot then obtain an acceptable substitute. In addition, we would likely be required to incur significant costs and devote significant efforts to find new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acquire and qualify new equipment, validate new reagents and revalidate aspects of our existing assays, which may cause delays in our processing of samples or development and commercialization of our technology. Any such interruption could significantly affect our business, financial condition, results of operations and reputation.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Integrated Drug Creation platform may not meet the expectations of our partners, which means our business, financial condition, results of operations and prospects could suffer.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success depends on, among other things, the market’s confidence that our Integrated Drug Creation platform is capable of substantially shortening the amount of time necessary to perform certain activities as compared to the use of legacy and other alternative technologies, and will enable more efficient or improved preclinical and clinical development and/or biomanufacturing. There is no assurance that we will be able to fully accomplish this in the future, or at all. To date, we have only advanced two product candidates, ABS-101 and ABS-201, from our Integrated Drug Creation platform into clinical testing, and any inability to advance additional product candidates into clinical development may reduce our existing and prospective partners' confidence in our platform. We also believe that pharmaceutical and biotechnology companies are likely to be particularly sensitive to defects in, or suboptimal performance of, our Integrated Drug Creation platform, including if it fails to deliver meaningful reduction of certain research timelines accompanied by results at least as good as the results generated using legacy or other alternative technologies. There can be no guarantee that our Integrated Drug Creation platform will meet the expectations of pharmaceutical and biotechnology companies.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may need to develop and expand our workforce, commercial infrastructure and laboratory operations to support anticipated growth in demand for our drug creation programs, and we may encounter difficulties in managing this development and expansion.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need to expand our workforce, commercial infrastructure and laboratory operations to support anticipated growth in demand for our drug creation programs. If we are unable to support fluctuations in the demand for our drug creation programs, including ensuring that we have adequate capacity to meet increased demand, our business could suffer. We expect to continue to develop our employees and the scope of our operations as we continue to enhance our technologies and expand our number of programs. As we seek to pursue and advance internally developed programs, increase the number of our partnerships, expand the scope of our existing partnerships, and further develop our technological capabilities, we may need to incorporate new equipment, implement new technology systems and laboratory processes and hire new personnel with different qualifications. Failure to manage this growth or transition could result in turnaround time delays, higher research and development costs, declining drug creation program quality, deteriorating alliance management success, and slower responses to competitive challenges. Moreover the successful execution of our programs requires ongoing integration amongst our employees who come from a variety of technical backgrounds. As we increase the number of partnered and internally developed programs, we must ensure alignment and effective collaboration between our wet-lab biologists and AI scientists which we may not achieve due to the challenge of integrating these disparate domains. A failure in any one of these areas could make it difficult for us to meet market expectations for our technologies, and could damage our reputation and the prospects for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manage future growth, we must continue to implement and improve our managerial, operational and financial systems, expand our facilities and continue to recruit and train additional qualified personnel. Also, our management team may need to divert a disproportionate amount of its attention away from its day-to-day activities and devote a substantial amount of time to managing growth activities. Due to our limited resources and early stage of growth, we may not be able to effectively manage this simultaneous execution and the expansion of our operations. This may result in weaknesses in our infrastructure, operational mistakes, slower development of our drug creation partnered programs and internally developed programs, loss of business opportunities, loss of employees and reduced productivity among our employees.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our management is unable to effectively manage our expected development and growth, our expenses may increase more than expected, our ability to generate or increase our revenue could be reduced and we may not be able to implement our business strategy. Our future financial performance, and our ability to develop and commercialize our technologies and compete effectively, will depend, in part, on our ability to effectively manage our future development and growth.</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in the past and may in the future need to reduce our workforce, which may not achieve our intended outcomes and could result in unintended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50"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order to optimize our cost structure and improve operational efficiency, we have in the past, and may in the future need to undertake workforce reductions or other restructuring activities. These types of cost-reduction activities can be complex and may result in unintended consequences and costs, including the loss of institutional knowledge and expertise, attrition beyond any intended reduction in headcount, and decreased morale among our remaining employees. Furthermore, any such workforce reductions may make it difficult to retain competent personnel and to attract qualified candidates in the future, which could adversely impact our ability to execute on our business strategy. There can be no assurance that any future workforce reduction would result in the anticipated efficiency gains or cost savings, and the costs associated with such actions could exceed the benefits realized. If we are unable to realize the anticipated benefits of any future restructuring, our business, financial condition, and results of operations could be materially and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loss of any member of our senior leadership team or our inability to attract and retain highly skilled scientists and business development professionals could adversely affect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success depends on the skills, experience and performance of key members of our senior leadership team, as well as highly skilled employees in certain technical fields. The individual and collective efforts of these employees will be important as we continue to develop our Integrated Drug Creation platform and our technology, and as we expand our commercial and development activities. The loss or incapacity of existing members of our executive management team could adversely affect our operations if we experience difficulties in hiring qualified successors. While our executive officers are party to employment contracts with us, their employment with us is at-will, which means that either we or the executive may terminate their employment at any time, and we therefore cannot guarantee their retention for any period of time.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research and development activities depend on our ability to attract and retain highly skilled personnel. We may not be able to attract or retain qualified personnel due to the intense competition for highly skilled scientists, including those focused on AI-powered biologic drug discovery and cell line development, as well as qualified business development and sales professionals, among life sciences companies. Competition for personnel with expertise in AI-powered drug discovery is particularly intense. Additionally, our headquarters located in Vancouver, Washington, which does not have as high a concentration of innovative biotechnology or AI companies as other geographic locations, may negatively impact our ability to attract and retain top talent. Further, some of the qualified personnel that we hire and recruit may not be U.S. citizens. Changes to U.S. immigration policies, particularly to H-1B and other visa programs, could restrain the flow of technical and professional talent into the United States and may inhibit our ability to hire qualified personnel, as well as increase related hiring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business development programs. A key risk in the area of retention is that all of our employees are at-will.</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in the past have, and in the future may, make technology acquisitions, acquire businesses or assets, or make investments in other companies or technologies that could negatively affect our operating results, dilute our stockholders’ ownership, increase our debt or cause us to incur significant expense.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made technology acquisitions in the past and may, in the future, pursue acquisitions of businesses and assets in the future. We also may pursue strategic alliances, joint ventures or other commercial deal structures that leverage our technologies and industry experience to expand our offerings. Additionally, we intend to invest in certain wholly-owned preclinical and/or clinical development programs with the goal of licensing or selling them to partners for clinical development. Although we have acquired other businesses or assets in the past, we may not be able to find suitable partners or acquisition or asset purchase candidates in the future, and we may not be able to complete such transactions on favorable terms, if at all. The competition for partners or acquisition candidates may be intense, and the negotiation process will be time-consuming and complex. If we make any acquisitions, we may not be able to integrate these acquisitions successfully into our existing business, these acquisitions may not strengthen our competitive position, the transactions may be viewed negatively by partners or investors, we may be unable to retain key employees of any acquired business, relationships with key suppliers, manufacturers or partners of any acquired business may be impaired due to changes in management and ownership, and we could assume unknown or contingent liabilities. Any future acquisitions also could result in the incurrence of debt, contingent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51"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or future write-offs of intangible assets or goodwill, any of which could have a material adverse effect on our business, financial condition, results of operations and prospects. We cannot guarantee that we will be able to fully recover the costs of any acquisition. Integration of an acquired company also may disrupt ongoing operations and require management resources that we would otherwise focus on developing our existing business. We may not realize the anticipated benefits of any acquisition, technology license, strategic alliance, joint venture, or other commercial deal structure. We also may experience losses related to investments in other companies, which could have a material adverse effect on our business, financial condition, results of operations and prospects. Acquisitions may also expose us to a variety of international and business related risks, including intellectual property, regulatory laws, local laws, tax and accounting.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finance any acquisitions or asset purchase, we may choose to issue securities as consideration, which would dilute the ownership of our stockholders. Additional funds may not be available on terms that are favorable to us, or at all. If the price of our common stock is low or volatile, we may not be able to acquire companies or assets using our securities as consideration.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equipment financing agreements may contain covenants that restrict our operating activities, and we may be required to repay the outstanding indebtedness in an event of default, which could have a material adverse effect on our business, financial condition, results of operations and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entered into a Master Financing Agreement (MFA) pursuant to which the lender agreed to provide us equipment financing. Until we have repaid such indebtedness, the MFA subjects us to various customary covenants, including requirements as to financial reporting, liquidity ratios and maintaining insurance. Our business may be adversely affected by these restrictions on our ability to operate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be required to repay the outstanding indebtedness under the MFA if an event of default occurs under the MFA. An event of default will occur if, among other things, we fail to make required payments under the MFA; we breach any of our covenants under the MFA, subject to specified cure periods with respect to certain breaches; the lender determines that a material adverse change (as defined in the MFA) has occurred; we or our assets become subject to certain legal proceedings, such as bankruptcy proceedings; we are unable to pay our debts as they become due; or we default on contracts with third parties which would permit the third party to accelerate the maturity of such indebtedness or that could have a material adverse change on us. We may not have enough available cash, cash equivalents and marketable securities or be able to raise additional funds through equity or debt financings to repay such indebtedness at the time any such event of default occurs. In such a case, we may be required to delay, limit, reduce or terminate our operations or grant to other parties the rights to develop and market our Integrated Drug Creation platform that we would otherwise prefer to develop and market ourselves. The lender could also exercise its rights as secured lender to take possession of and to dispose of the collateral securing the MFA, which collateral includes substantially all of our property. Our business, financial condition, results of operations and prospects could be materially adversely affected as a result of any of these events.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inability to collect on our accounts receivable by a significant number of partners may have an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Invoices issued to our partners are generally made on open credit terms. While we have not experienced any significant challenges in collecting on accounts receivable from our partners historically, they may occur in the future. Management assesses the need to maintain an allowance for potential credit losses each reporting period. If our partners’ cash flow, working capital, financial conditions or results of operations deteriorate, they may be unable or even unwilling to pay trade receivables owed to us promptly or at all. As a result, we could be exposed to a certain level of credit risk. If a major partner experiences, or a significant number of partners experience, financial difficulties, the effect on us could be material and have an adverse effect on our business, financial condition and results of operations.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our operating facility becomes damaged or inoperable or we are required to vacate our facility, our ability to conduct and pursue our drug creation and internal research and development efforts may be jeopardized.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currently operate primarily through a single facility located in Vancouver, Washington. Our facility and equipment could be harmed or rendered inoperable or inaccessible by natural or man-made disasters or other circumstances beyond our control, including fire, earthquake, power loss, communications failure, war or terrorism, or another catastrophic event, such as a pandemic or similar outbreak or public health crisis,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2"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which may render it difficult or impossible for us to support our partners, advance internal research and development activities, and develop updates, upgrades and other improvements to our technology and platform, advanced automation systems, and advanced application for some period of time. We may be unable to execute on our drug creation and additional research and development activities if our facility is inoperable or suffers a loss of utilization for even a short period of time. This may result in the loss of partners or harm to our reputation, which we may be unable to regain or repair in the future. This may interrupt the development of our internally developed programs, which may delay our ability to monetize such programs. Furthermore, our facility and the equipment we use to perform our drug creation activities could be unavailable or costly and time-consuming to repair or replace. It would be difficult, time-consuming and expensive to rebuild our facility, to locate and qualify a new facility or license or transfer our proprietary technology to a third party. Even in the event we are able to find a third party to assist in drug creation efforts, we may be unable to negotiate commercially reasonable terms to engage with the third party.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current and future use of evolving technologies, such as AI, may present risks and challenges that can impact our business, including by posing cybersecurity and other risks to our confidential and/or proprietary information, including personal information, and as a result we may be exposed to operational challenges, reputational harm and potential liability.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technology development activities depend on sophisticated AI algorithms and computational systems to conduct drug creation activities. These activities require substantial computational resources, including high-performance computing systems and cloud computing services. The availability of these resources is critical to our ability to efficiently process large datasets, perform complex simulations, and analyze vast amounts of genetic and molecular information. Limited access to, or the inability to expand, these computational resources could pose significant risks to our business and operations in the following ways: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Insufficient computational power could slow down our R&amp;D activities, leading to delays in drug creation partnerships, internally developed programs and technology development activities. This slowdown could adversely affect our ability to meet project milestones and delay program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Relying on external providers for additional computational resources can significantly increase our operational costs. Unexpected increases in these costs could impact our financial condition, especially if we are unable to pass these costs onto our customers or adequately budget for them;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remain competitive depends on our capacity to leverage cutting-edge AI technologies and computational methods. Limited access to computational resources could hinder our ability to innovate and maintain our technological advantage;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Limited computational resources may lead to operational bottlenecks, affecting our ability to process data and execute tasks efficiently. This inefficiency could impair our productivity and operational effectiveness, impacting our overall business performance;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Expanding our computational infrastructure or resorting to third-party cloud services to meet our computational needs could expose us to increased compliance and security risks. Ensuring data protection and meeting regulatory requirements may become more challenging as we scale our computational resources, potentially leading to financial penalties and reputational damage.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continually assess our computational need    s and strategically invest in our infrastructure, including access to compute via cloud computing arrangements, to mitigate these risks. However, there is no assurance that these measures will be sufficient to prevent the adverse effects associated with limited access to computational resources. Our failure to effectively manage and scale our computational resources could have a material adverse effect on our business, financial condition, and operational results.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use of evolving technologies, such as AI, in our operations, and the operations of third parties upon which we rely, presents risks and challenges that could negatively impact our business, including cybersecurity, data privacy, IT, intellectual property, regulatory, legal, operational, competitive, reputational, and other risks and challenges.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we enable or use AI solutions that draw controversy due to perceived or actual negative societal impact, we may experience brand or reputational harm, competitive harm or legal liability. 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entered into force on August 1, 2024, with significant provisions expected to become effective in August 2026. As currently enacted, the AI Act, which may be amended as part of the EU’s Digital Omnibus,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In the U.S., the AI regulatory environment is complex and uncertain. Dozens of states have advanced, and in some cases passed,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including advanced cyber attacks, cyber espionage campaigns, exploitation of expanded attack surfaces, and other activities.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be in violation of applicable laws and regulations, and adversely impact our business. Any of these effects could damage our reputation, result in the loss of valuable property and information, cause us to breach applicable laws and regulations, and adversely impact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depend on our information technology systems, and any significant disruptions to or failure of these systems could result in significant financial, legal, regulatory, business and reputational harm to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Significant disruptions to our and our service providers’ information technology systems or data security incidents could result in significant financial, legal, regulatory, business and reputational harm to us. We are increasingly dependent on information technology systems and infrastructure, including services licensed, leased or purchased from third parties such as cloud computing infrastructure and operating systems, for significant elements of our business operations, including the operation of our Integrated Drug Creation platform (which includes our proprietary AI models, antibody discovery software platform and computational biology system), our knowledge management system, our partner reporting, our advanced automation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4"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systems, and advanced application software. These systems involve computational resources and data storage distributed between onsite servers, cloud computing infrastructure hosted by third-party providers, and a private graphics processing unit cluster owned by us but located and maintained at a facility in Texas.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ordinary course of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installed, and expect to expand, a number of enterprise software systems that affect a broad range of business processes and functional areas, including for example, systems handling human resources, procurement, financial controls and reporting, contract management, regulatory compliance and other infrastructure operations. These implementations were expensive and required significant time and effort.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also outsourced elements of our operations (including elements of our information technology infrastructure) to third parties, and as a result, we manage a number of third-party vendors who may have access to our networks or our confidential information. While we take measures to safeguard and protect this information, threats to network and data security are constantly evolving and growing in frequency and sophistication and, like other companies in our industry, we and our third-party vendors have experienced threats and cybersecurity incidents relating to information technology systems and infrastructure.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taken steps to enhance our cybersecurity posture, but remain subject to cybersecurity risks that could adversely affect our business. For example, we face increased cybersecurity risks due to our reliance on internet technology and the number of our employees working remotely, which may create additional opportunities for cybercriminals to exploit vulnerabilities. In response, we have extended the capabilities of both our preventative and detective security controls by augmenting the monitoring and alerting functions, the network design and the automatic countermeasure operations of our technical systems. Our information technology and telecommunications systems support a variety of functions, including manufacturing operations, laboratory operations, data analysis, quality control, partner service and support, billing, research and development activities, scientific and general administrative activities.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Despite these measures, we cannot guarantee that our security controls will be sufficient to prevent all cyber threats or unauthorized access to our systems. A significant risk in implementing and maintaining these systems includes the integration and communication between separate IT systems, and any failure to integrate these systems effectively could adversely affect various aspects of our operations. Any cybersecurity breach or systems failure could result in disruptions to our operations, loss of sensitive data, regulatory penalties, reputational harm, and materially adverse effects on our business,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International expansion of our business exposes us to business, regulatory, political, operational, financial and economic risks associated with doing business outside of the United States.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Because we currently market our technologies and our partners may market products derived from our technologies outside of the United States and we or our partners may market future technologies, products and services outside of the United States, if cleared, authorized or approved, our business is subject to risks associated with doing business outside of the United States, including an increase in our expenses, disruptions to our supply chain, security threats and diversion of our management’s attention from the development of future products and services. In addition, we currently maintain offices and have employees located in Zug, Switzerland and Belgrade, Serbia. Our current and planned international operations could expose us to additional risks that may adversely affect our business and financial results,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multiple, conflicting and changing laws and regulations such as privacy security and data use regulations, tax laws, export and import controls and restrictions, tariffs, economic sanctions and embargoes, employment laws, anticorruption laws, regulatory requirements, reporting and disclosure obligations, reimbursement or payor regimes and other governmental approvals, permits and licenses;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failure by us, our partners or our distributors to obtain regulatory clearance, authorization or approval for the use of our technologies in various countries;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additional potentially relevant third-party patent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55"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complexities and difficulties in obtaining intellectual property protection and enforcing our intellectual property;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difficulties in staffing and managing foreign operations;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complexities associated with managing multiple payor reimbursement regimes, government payors or patient self-pay systems;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difficulties in negotiating favorable reimbursement arrangements with governmental authorities;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complexities in technology transfer regulations and logistics related to delivery of our bioengineered </w:t>
      </w:r>
      <w:r>
        <w:rPr>
          <w:rFonts w:ascii="Frutiger LT 55 Roman;sans-serif" w:hAnsi="Frutiger LT 55 Roman;sans-serif"/>
          <w:b w:val="false"/>
          <w:i/>
          <w:color w:val="000000"/>
          <w:sz w:val="20"/>
        </w:rPr>
        <w:t>E. coli</w:t>
      </w:r>
      <w:r>
        <w:rPr>
          <w:color w:val="000000"/>
        </w:rPr>
        <w:t xml:space="preserve"> </w:t>
      </w:r>
      <w:r>
        <w:rPr>
          <w:rFonts w:ascii="Frutiger LT 55 Roman;sans-serif" w:hAnsi="Frutiger LT 55 Roman;sans-serif"/>
          <w:b w:val="false"/>
          <w:color w:val="000000"/>
          <w:sz w:val="20"/>
        </w:rPr>
        <w:t>to partners;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logistics and regulations associated with shipping samples, including infrastructure conditions and transportation delays;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limits in our ability to penetrate international markets if we are not able to conduct our operations locally;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financial risks, such as longer payment cycles, difficulty collecting accounts receivable, the impact of local and regional financial crises on demand and payment for our technologies, exposure to foreign currency exchange rate fluctuations and different tax jurisdictions;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natural disasters, political and economic instability, including wars, terrorism, political unrest and global conflicts such as Russia’s invasion of Ukraine, ongoing conflicts in the Middle East and heightened tensions in the Pacific region, outbreak of disease or other public health crises, such as the COVID-19 pandemic, boycotts, curtailment of trade, including as a result of tariffs, export controls and sanctions implemented by or against the United States in relation to other countries or jurisdictions, and other business restrictions;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certain expenses, including expenses for travel, translation services, labor and employment costs and insurance;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regulatory and compliance risks that relate to maintaining accurate information and control over sales and distributors’ activities that may fall within the purview of the U.S. Foreign Corrupt Practices Act (FCPA), its books and records provisions, or its anti-bribery provisions;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onerous anti-bribery requirements under laws similar to the FCPA in other jurisdictions in which we may now or in the future operate, including those of several member states in the European Union (EU), such as the United Kingdom’s Bribery Act of 2010, and other countries that are constantly changing and require disclosure of information to which U.S. legal privilege may not extend.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of these factors could significantly harm our future international expansion and operations and, consequently, our revenue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business activities are subject to the FCPA and other anti-bribery and anti-corruption laws of the United States and other countries in which we operate, as well as U.S. and certain foreign export controls and trade sanctions. Violations of such legal requirements could subject us to liability.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subject to the FCPA, which among other things prohibits companies and their third-party intermediaries from offering, promising, giving or authorizing others to give anything of value, either directly or indirectly, to non-U.S. government officials for the purpose of obtaining or retaining business or securing any other improper advantage. The FCPA also requires public companies to make and keep books and records that accurately and fairly reflect the transactions of the corporation and to devise and maintain an adequate system of internal accounting controls. Companies in the biotechnology and biopharmaceutical field are highly regulated and therefore involve interactions with public officials, including officials of non-U.S. governments. Additionally, in many other countries, hospitals are owned and operated by the government, and doctors and other hospital employees would be considered foreign officials under the FCPA. These laws are complex and far-reaching in nature, and, as a result, there is no certainty that all of our employees, agents or contractors will comply with such laws and regulations. Any violations of these laws, or allegations of such violations, could disrupt our operations, involve significant management distraction, involve significant costs and expenses, including legal fees, and could result in a material adverse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56"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business, financial condition, results of operations and prospects. We could also suffer severe penalties, including criminal and civil penalties, disgorgement and other remedial measures.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use biological and hazardous materials that require considerable expertise and expense for handling, storage and disposal and may result in claims against 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work with materials, including chemicals, biological agents and compounds that could be hazardous to human health and safety or the environment. Our operations also produce hazardous and biological waste products. Our SoluPro system is based on bioengineered E. coli, which could pose a health risk if improperly handled. Additionally, we employ various synthetic biology processes, which could involve the use or emission of harmful materials. Federal, state and local laws and regulations govern the use, generation, manufacture, storage, handling and disposal of these materials and wastes. We may be subject to periodic inspections by relevant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cannot eliminate the risk of accidental injury or contamination from these materials or wastes, which could cause an interruption of our commercialization efforts, drug creation partnered programs and internally developed programs and business operations, as well as environmental damage resulting in costly clean-up and liabilities under applicable laws and regulations. In the event of contamination or injury, we could be liable for damages or penalized with fines in an amount exceeding our resources and our operations could be suspended or otherwise adversely affected. Furthermore, environmental laws and regulations are complex, change frequently and have tended to become more stringent. We cannot predict the impact of such changes and cannot be certain of our future compliance.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Public health crises such as pandemics or similar outbreaks could cause a disruption of the development of our platform technologies, and adversely impact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a result of public health crises, such as the COVID-19 pandemic, we have previously experienced and may in the future experience severe delays and disruptions, including, for example: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interruption of or delays in receiving products and supplies from third parties;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limitations on our business operations by local, state and/or federal governments that could impact our ability to conduct our technology development and other activities;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delays in negotiations with partners and potential partners;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increases in facilities costs to comply with physical distancing guidance;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business disruptions caused by workplace, laboratory and office closures and an increased reliance on employees working from home, travel limitations, cyber security and data accessibility, or communication or mass transit disruptions;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limitations on employee resources that would otherwise be focused on the conduct of our activities, including because of sickness of employees or their families or the desire of employees to avoid contact with large groups of people.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of these factors could severely impact drug creation, internal program, manufacturing, other research and development activities, business operations and business development, or delay necessary interactions with local regulators, and other important contractors and partners. These and other factors may adversely impact our ability to conduct our business generally and have a material adverse impact on our operations and financial condition and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7"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and expect in the future to rely on a limited number of outside parties to perform the cGMP manufacturing for preclinical development, clinical development and commercialization of any biologic product candidates produced using our technology. Limitations in this global cGMP manufacturing capacity could delay or prevent preclinical development, clinical development and/or commercialization efforts.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develop manufacturing processes that are required to use our cell lines, but we do not currently have capabilities to manufacture products in accordance with cGMPs. We rely on the in-house manufacturing capabilities of our partners or capabilities of established third-party CDMOs to manufacture our and our partners product candidates. Manufacturing capacity maintained by our partners or third-party CDMOs is a finite resource that is in demand. Shortages in cGMP manufacturing capacity are difficult to predict and could hamper our operations and harm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from time to time we have relied upon, and may continue to rely upon, third party CDMOs that are based in jurisdictions outside the United States. Legislative proposals are pending that, if enacted, could negatively impact U.S. funding for certain biotechnology providers having relationships with foreign adversaries or which potentially pose a threat to national security. If any of our third party CDMOs are impacted by these legislative proposals, the potential downstream adverse impacts on us are unknown but may include supply chain disruptions or delays.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While we have no active plans to operate a manufacturing facility designed to comply with cGMPs, future market pressures or the lack of available capacity at third-party cGMP manufacturing facilities may necessitate our entry into this market, which could result in our incurring additional time and expenses to establish our own cGMP manufacturing capabilities and have an adverse effect on our business, financial condition and results of operations. </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 xml:space="preserve">Risks Related to Our Intellectual Property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are unable to obtain and maintain sufficient intellectual property protection for our technologies and product candidates, or if the scope of the intellectual property protection obtained is not sufficiently broad, our competitors could develop and commercialize technologies or product candidates similar or identical to ours, and our ability to successfully leverage our technologies or product candidates may be impaired.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 competitive advantage. If we fail to protect our intellectual property, third parties may be able to compete more effectively against us. In addition, we may incur substantial litigation costs in our attempts to recover or restrict the use of our intellectual property.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the extent our intellectual property offers inadequate protection, or is found to be invalid or unenforceable, we would be exposed to a greater risk of direct competition. If our intellectual property does not provide adequate coverage of our competitors’ products and services, our competitive position could be adversely affected, as could our business. Both the patent application process and the process of managing patent disputes can be time-consuming and expensive.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success depends in large part on our ability to obtain and maintain adequate protection of the intellectual property we may own solely and jointly with others or otherwise have rights to, particularly patents, in the United States and in other countries with respect to our platform, our software and our technologies, without infringing the intellectual property rights of others.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strive to protect and enhance the proprietary technologies that we believe are important to our business, including seeking patents intended to cover our Integrated Drug Creation platform and related technologies and uses thereof, as we deem appropriate. Our patents and patent applications in the United States and certain foreign jurisdictions relate to our technology. However, obtaining and enforcing patents in our industry is costly, time-consuming, and complex, and we may fail to apply for patents on important products and technologies in a timely fashion or at all, or we may fail to apply for patents in potentially relevant jurisdictions. There can be no assurance that the claims of our patents (or any patent application that is issued to us as a patent), will exclude others from making, using, or selling our technology or technology that is substantially similar to ours. We also rely on trade secrets to protect aspects of our business that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8"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amenable to, or that we do not consider appropriate for, patent protection. In countries where we have not sought and do not seek patent protection, third parties may be able to manufacture and sell our technology without our permission, and we may not be able to stop them from doing so.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technology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own issued, or granted, patents and have pending patent applications worldwide, which include issued U.S. patents and pending U.S. patent applications.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As a result, our owned and licensed patents and patent applications comprising our patent portfolio may not provide us with sufficient rights to exclude others from commercializing technology and products similar to any of our technology.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 is possible that in the future some of our patents, licensed patents and patent applications may be challenged at the USPTO or in proceedings before the patent offices of other jurisdictions. We may not be successful in defending any such challenges made against our patents or patent applications. Any successful third party challenge to our patents could result in loss of exclusivity or freedom to operate, patent claims being narrowed, the unenforceability or invalidity of such patents, in whole or in part, which could limit our ability to stop others from using or commercializing similar or identical technology and products, limit the duration of the patent protection of our technology, and increased competition to our business. We may have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another example, the European Unified Patent Court (UPC) came into force in June 2023. The UPC is a common patent court to hear patent infringement and revocation proceedings effective for member states of the European Union. Should we file under the UPC and have one or more issued patents through this new system we could be adversely affected. A single forum could enable third parties to seek revocation of any of our European patents in a single proceeding at the UPC rather than through multiple proceedings in each of the jurisdictions in which the European patents have previously been issued.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the breadth of patents filed thereunder, or our ability to defend any such patent and/or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Likewise, at this point we cannot be certain that our European patents and patent applications will avoid falling under the jurisdiction of the UPC, even if we decide to opt out of the UPC.</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changes we make to our technology, including changes that may be required for commercialization or that cause them to have what we view as more advantageous properties may not be covered by our existing patent portfolio, and we may be required to file new applications and/or seek other forms of protection for any such alterations to our technology. There can be no assurance that we would be able to secure patent protection that would adequately cover an alternative to our technology.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9"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Changes in patent law in the United States and other jurisdictions could diminish the value of patents in general, thereby impairing our ability to protect our technologies.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Changes in either the patent laws or in interpretations of patent laws in the United States or other countries or regions may diminish the value of our intellectual property. We cannot predict the breadth of claims that may be allowed or enforced in our patents or in third party patents. We may not develop additional proprietary platforms, methods and technologies that are patentable.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(America Invents Act) enacted on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Because patent applications in the United States and most other countries are confidential for a period of time after filing or until issuance, we cannot be certain that we or our licensors were the first to either (i) file any patent application related to our technology or (ii) invent any of the inventions claimed in our or our licensor’s patents or patent applications.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any future in-licensed patent applications and the enforcement or defense of our owned or any future in-licensed issued patents, all of which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patent position of companies in the biotechnology field is particularly uncertain.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natural laws.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another example, in Amgen Inc. v. Sanofi, or Amgen, the U.S. Supreme Court held that certain of Amgen’s patent claims defined a class of antibodies by their function of binding to a particular antigen and not by structure and that a skilled artisan would have to use significant trial and error to identify and make all of the molecules in that class. The U.S. Supreme Court ultimately held that Amgen failed to properly enable its patent claims. While we do not believe that any of our patents will be found invalid based on this or other decisions, we cannot predict how future decisions by the courts, the U.S. Congress or the USPTO may impact the value of our patents. In 2023, the Federal Circuit issued a decision in In re Cellect, LLC involving the interaction of patent term adjustment, or PTA, terminal disclaimers, and obviousness-type double patenting which may affect the patent term of any issued patents that rely on any PTA. In 2022, Congress passed the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Additionally, there have been recent proposals for additional changes to the patent laws of the United States and other countries that, if adopted, could impact our ability to obtain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60"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Issued patents covering our Integrated Drug Creation platform and other technologies could be found invalid or unenforceable if challenged.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issuance of a patent is not conclusive as to its inventorship, scope, validity, or enforceability. Some of our patents or patent applications (including licensed patents) may be challenged at a future point in time in opposition, derivation, reexamination, inter partes review, post-grant review or interference. Any successful third party challenge to our patents in this or any other proceeding could result in the unenforceability or invalidity of such patents or amendment to our patents in such a way that they no longer cover our Integrated Drug Creation platform and our technology, which may lead to increased competition to our business, which could harm our business.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not be aware of all third party intellectual property rights potentially relating to our Integrated Drug Creation platform or technology.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licensors might not have been the first to make the inventions covered by each of our pending patent applications and we or our licensors might not have been the first to file patent applications for these inventions. There is also no assurance that all of the potentially relevant prior art relating to our patents and patent applications, or licensed patents and patent applications has been found, which could be used by a third party to challenge their validity or prevent a patent from issuing from a pending patent application.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determine the priority of these inventions, we may have to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come to rely on in-licenses from third parties. If we were to lose these rights, our business could be materially adversely affected, our ability to develop improvements to our Integrated Drug Creation platform or technologies could be negatively and substantially impacted, and if disputes arise, we could be subjected to future litigation as well as the potential loss of or limitations on our ability to incorporate the technology covered by these license agreements.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need to obtain licenses from third parties to advance our research, development, and commercialization activities. We expect that any future exclusive in-license agreements will impose various development, diligence, commercialization, and other obligations on us. We may enter into engagements in the future with other licensors under which we obtain certain intellectual property rights relating to our Integrated Drug Creation platform and technologies. These engagements may take the form of an exclusive license or of actual ownership of intellectual property rights or technologies from third parties. Our rights to use the technologies we license may be subject to the continuation of and compliance with the terms of those agreements. In some cases, we may not control the prosecution, maintenance or filing of the patents to which we hold licenses, or the enforcement of those patents against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61"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Moreover, disputes may arise with respect to our licensing or other upstream agreements, including: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scope of rights granted under the agreements and other interpretation-related issues;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extent to which our technology development processes infringe on intellectual property of the licensor that is not subject to the licensing agreement;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sublicensing of patent and other rights under our partnership agreements;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diligence obligations under the license agreements and what activities satisfy those diligence obligations;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inventorship and ownership of inventions and know-how resulting from the joint creation or use of intellectual property by our licensors and us and our partners;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priority of invention of patented technology.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spite of our efforts to comply with our obligations under any future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technology covered by these license agreements. If any such in-license is terminated, or if the licensed patents fail to provide the intended exclusivity, competitors or other third parties might have the freedom to market or develop technologies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our licensor, or we may be required to cease our technology development and commercialization activities which are deemed infringing, and in such event we may ultimately need to modify our activities or technologies to design around such infringement, which may be time- and resource-consuming, and which may not be ultimately successful. Any of the foregoing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our rights to future components of our Integrated Drug Creation platform may be licensed to us on a non-exclusive basis. The owners of these non-exclusively licensed technologies would therefore be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certain of our agreements with third parties may provide that intellectual property arising under these agreements, such as data that could be valuable to our business, will be owned by the counterparty, in which case, we may not have adequate rights to use such data or have exclusivity with respect to the use of such data, which could result in third parties, including our competitors, being able to use such data to compete with us.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we cannot acquire or license rights to use technologies on reasonable terms or if we fail to comply with our obligations under such agreements, we may not be able to commercialize new technologies or services in the future and our business could be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future, we may identify third party intellectual property and technologies we may need to acquire or license in order to engage in our business, including to develop or commercialize new technologies or services, and the growth of our business may depend in part on our ability to acquire, in-license or use these technologies. However, we may not be able to acquire or in-license rights to these technologies on acceptable terms or at all.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technological development or commercialization capabilities. In addition, companies that perceive us to be a competitor may be unwilling to assign or license rights to us. Even if such licenses are available, we may be required to pay the licensor in return for the use of such licensor’s technology, upfront or technology access fees, payments based on certain development, regulatory or commercial milestones such as sales volumes, or royalties based royalties received or milestones achieved by our partners. In addition, such licenses may be non-exclusive, which could give our competitors access to the same intellectual property licensed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62"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spite of our best efforts, our licensors might conclude that we have materially breached our license agreements and might therefore terminate the license agreements, thereby removing our ability to develop and commercialize technologies covered by these license agreements. If these licenses are terminated, or if the underlying intellectual property fails to provide the intended exclusivity, competitors would have the freedom to seek regulatory approval of, and to market, technologies identical to ours. This could have a material adverse effect on our competitive position, business, financial condition, results of operations and prospects. Additionally,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or cause us to lose our rights under these agreements, including our rights to important intellectual property or technologies or impede, or delay or prohibit the further development or commercialization of one or more technologies that rely on such agreements.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While we still face all of the risks described herein with respect to those agreements, we cannot prevent third parties from also accessing those technologies. In addition, our licenses may place restrictions on our future business opportunities.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or our partners’ ability to further commercialize our technologies or products generated using our technologies may be materially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Further, we may not have the right to control the prosecution, maintenance, and enforcement of all of our licensed and sublicensed intellectual property, and even when we do have such rights, we may require the cooperation of our licensors and upstream licensors, which may not be forthcoming. Our business could be adversely affected if we or our licensors are unable to prosecute, maintain and enforce our licensed and sublicensed intellectual property effectively.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licensors may have relied on third-party consultants or partners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technologies and services. This could have a material adverse effect on our competitive position, business, financial conditions,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business, financial condition, results of operations and prospects could be materially and adversely affected if we are unable to enter into necessary agreements on acceptable terms or at all, if any necessary licenses are subsequently terminated, if the licensors fail to abide by the terms of the licenses or fail to prevent infringement by third parties, or if the acquired or licensed patents or other rights are found to be invalid or unenforceable. Moreover, we could encounter delays in advancing ongoing or initiating new technology development programs while we attempt to develop alternatives. Defense of any lawsuit or failure to obtain any of these licenses on favorable terms could prevent us from developing technologies or advancing partnerships, which could harm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not be able to protect our intellectual property rights throughout the world.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Filing, prosecuting, and defending patents on our Integrated Drug Creation platform, technologies, software, systems, and processes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of the United States, and even where such protection is nominally available, judicial, and governmental enforcement of such intellectual property rights may be lacking. Whether filed in the United States or abroad, our patent applications may be challenged or may fail to result in issued patents. Further, we may encounter difficulties in protecting and defending such rights in foreign jurisdictions. Consequently, we may not be able to prevent third parties from practicing our inventions in some or all countries outside the United States, or from selling or importing products made using our inventions 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3"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into the United States or other jurisdictions. Competitors may use our technologies in jurisdictions where we have not obtained patent protection to develop their own platform or technologies and may also sell their products or services to territories where we have patent protection, but enforcement is not as strong as that in the United States. These platforms and technologies may compete with ours. Our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Many companies have encountered significant problems in protecting and defending intellectual property rights in foreign jurisdictions. The legal systems of many other countries do not favor the enforcement of patents and other intellectual property protection, particularly those relating to biotechnology, which could make it difficult for us to stop the misappropriation or other violations of our intellectual property rights including infringement of our patents in such countries. Proceedings to enforce our patent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or that are initiated against us, and the damages or other remedies awarded, if any, may not be commercially meaningful. In addition, changes in the law and legal decisions by courts in the United States and foreign countries may affect our ability to obtain adequate protection for our technologies and the enforcement of intellectual property.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Intellectual property rights do not necessarily address all potential threats to our competitive advantage.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others may be able to make products that are similar to any product candidates generated by our Integrated Drug Creation platform that our partners may develop but that are not covered by the claims of the patents that we own or may license or own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or our current or future partners, might not have been the first to make the inventions covered by the issued patents and pending patent applications that we own or may license or own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or our current or future partners, might not have been the first to file patent applications covering certain of our or their inventions;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others may independently develop similar or alternative technologies or duplicate any of our technologies without infringing our owned or any future licensed intellectual property rights;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it is possible that our pending patent applications or those that we may own in the future will not lead to issued patents;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issued patents that we hold rights to may be held invalid or unenforceable, including as a result of legal challenges by our competitors;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any patents issued to us, or our licensors will provide a basis for an exclusive market for our commercially viable technologies or will provide us with any competitive advantages;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4"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our commercial activities or technologies will not infringe upon the patents of others;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we or our partners or future licensees will be able to further commercialize our technologies on a substantial scale, if approved, before the relevant patents that we own or may license expire;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any of our patents, or any of our pending patent applications, if issued, or those of our licensors, will include claims having a scope sufficient to protect our technology;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may not develop additional proprietary technologies that are patentable;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patents or intellectual property rights of others may harm our business;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may choose not to file a patent application in order to maintain certain trade secrets or know-how, and a third party may subsequently file a patent covering such intellectual property.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Should any of these events occur, they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we are unable to protect the confidentiality of our information and our trade secrets, the value of our technologies could be materially adversely affected, and our business could be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rely heavily on trade secrets and confidentiality agreements to protect our unpatented know-how, technologies, and other proprietary information, including parts of our Integrated Drug Creation platform, and to maintain our competitive position. However, trade secrets and know-how can be difficult to protect. In addition to pursuing patents on our technologies, we take steps to protect our intellectual property and proprietary technologies by entering into agreements, including confidentiality agreements, non-disclosure agreements and intellectual property assignment agreements, with our employees, consultants, academic institutions, corporate and/or strategic partners, potential or existing investors and, when needed, our advisers. However, we 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If we are required to assert our rights against such party, it could result in significant cost and distraction.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In addition, some courts both within and outside the United States may be less willing, or unwilling, to protect trade secrets. Further, we may need to share our trade secrets and confidential know-how with current or future business partners, collaborators, contractors, and others located in countries at heightened risk of theft of trade secrets, including through direct intrusion by private parties or foreign actors, and those affiliated with or controlled by state actors.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If any of our trade secrets were to be disclosed to or independently discovered by a competitor or other third party, it could harm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5"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be subject to claims that our employees, consultants, or independent contractors have wrongfully used or disclosed confidential information of third parties or that our employees have wrongfully used or disclosed alleged trade secrets of their former employers.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employed and expect to employ individuals who were previously employed at universities or other companies.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technologies and solutions, which could harm our business. Even if we are successful in defending against these claims, litigation could result in substantial costs and be a distraction to management.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or may become subject to U.S. and foreign laws regarding privacy, data protection, and data security that could require substantial compliance costs, and any failure or perceived failure to comply with them could subject us to significant liability.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global landscape of privacy, data protection and data security laws has been rapidly evolving and is expected to become increasingly complex in the years to come. Numerous complex federal and state laws and regulations govern the collection, use, disclosure, storage and transmission of personally identifiable information, including protected health information. State laws in the United States may be even more restrictive and may be subject to varying interpretations by the courts and government agencies. These laws and regulations, including their interpretation by governmental agencies, are subject to frequent change and could have a negative impact on our business. Further, these varying interpretations could create complex compliance issues for us and our partners and potentially expose us to additional expense, liability, penalties, negatively impact our client relationships, and lead to adverse publicity, and all of these risks could adversely affect our business in the short and long term.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Numerous states now have enacted comprehensive privacy laws, adding complexity, variation in requirements, restrictions and potential legal risk requiring additional investment of resources in compliance programs. Certain states have passed laws regulating specific aspects of privacy. For example, the State of Washington recently passed a law that regulated health and medical information that is not subject to the Health Insurance Portability and Accountability Act and a small number of states, such as Illinois and Texas, have enacted laws that specifically target the collection and use of biometric information.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Internationally, virtually every jurisdiction in which we operate has established its own data security and privacy legal framework with which we or our customers must comply. Cross-border data transfers and other future developments regarding local data residency and access could increase the cost and complexity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6"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delivering our services in some markets and may lead to governmental enforcement actions, litigation, fines and penalties or adverse publicity, which could adversely affect our business and financial position could greatly increase our cost of providing our products and services, require significant changes to our operations or even prevent us from offering certain services in specific jurisdictions. In addition, any limitation on our ability to use or transmit health information outside of the U.S. could impose restrictions on our ability to recruit and maintain employees residing outside of the U.S., which could, in turn, adversely affect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not be able to protect and enforce our trademarks and trade names, or build name recognition in our markets of interest thereby harming our competitive position.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or platform.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Although we have registered some of our trademarks with the USPTO and certain other jurisdictions, we have not yet registered certain of our trademarks in all of our potential markets, and failure to secure those registrations could adversely affect our business. If we apply to register these trademarks in other countries, and/or other trademarks in the United States and other countries, our applications may not be allowed for registration in a timely fashion or at all; and further, our registered trademarks may not be maintained or enforced. 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 party rights, we may not be able to use these trademarks to market our technologies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harm our business, financial condition, results of operations and prospects. And, over the long-term, if we are unable to establish name recognition based on our trademarks, then our business development abilities may be materially adversely impacted.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pursue litigation, quasi-litigation, quasi-arbitral, or adversarial proceedings before trademark offices, courts, or other administrative tribunals or courts in order to enforce our trademark rights or to determine the scope, coverage and validity of our rights. The outcome of any such action might not be favorable to us, and even if we were to prevail, such litigation or administrative ruling could result in substantial costs and diversion of resources and could have a material adverse effect on our business, operating results or financial condition.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be subject to claims challenging the inventorship of our patents and other intellectual property.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or any future licensors may be subject to claims that former employees, partners or other third parties have an interest in our patents or any future in-licensed patents, trade secrets or other intellectual property as an inventor or co-inventor. Litigation may be necessary to defend against these and other claims challenging inventorship of our or such licensors’ ownership of our owned or any future in-licensed patents, trade secrets or other intellectual property. If we or our future licensors fail in defending any such claims, in addition to paying monetary damages, we may lose valuable intellectual property rights, such as exclusive ownership of, or right to use, intellectual property that is important to our systems. Even if we are successful in defending against such claims, litigation could result in substantial costs and be a distraction to management and other employees, and certain partners may defer engaging with us until the particular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7"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dispute is resolved. Any of the foregoing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become involved in patent litigation or other proceedings related to a determination of rights, we could incur substantial costs and expenses, substantial liability for damages or be required to stop our development and commercialization efforts of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a substantial amount of litigation, both within and outside the United States, involving patent and other intellectual property rights in the life sciences, clinical diagnostics and drug discovery industries, including patent infringement lawsuits, declaratory judgment litigation and adversarial proceedings before the USPTO, including interferences, derivation proceedings, ex parte reexaminations, post-grant review and inter partes review, as well as corresponding proceedings in foreign courts and foreign patent offices.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in the future, become involved with litigation or actions at the USPTO or foreign patent offices with various third parties. We expect that the number of such claims may increase as our business, visibility and partnership base expand and the number of our technology development programs and resultant licensed technologies increases, and as the level of competition in our industry increases. Any infringement claim, regardless of its validity, could harm our business by, among other things, resulting in time-consuming and costly litigation, diverting management’s time and attention from the development of our business, requiring the payment of monetary damages (including treble damages, attorneys’ fees, costs, and expenses) or royalty payments.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 may be necessary for us to pursue litigation or adversarial proceedings before the patent office in order to enforce our patent and proprietary rights or to determine the scope, coverage, and validity of the proprietary rights of others. The outcome of any such litigation might not be favorable to us, and even if we were to prevail, such litigation could result in substantial costs and diversion of resources and could have a material adverse effect on our business, operating results, or financial condition.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we move into new markets and expand our technology offerings, incumbent participants in such markets may assert their patents and other proprietary rights against us as a means of slowing our entry into such markets or as a means to extract substantial license and royalty payments from us. In addition, future litigation may involve patent holding companies or other adverse patent owners who have no relevant product or service revenue and against whom our own patents may provide little or no deterrence or protection.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Third parties may assert that we are employing their proprietary technology without authorization. Given that biologic drug discovery and cell line development platform technology fields are highly competitive areas, there may be third-party intellectual property rights that others believe could relate to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Because patent applications can take many years to issue, there may be currently pending patent applications which may later result in issued patents that our current or future products, technologies and services may infringe. We cannot be certain that we have identified or addressed all potentially significant third-party patents in advance of an infringement claim being made against us. In addition, similar to what other companies in our industry have experienced, we expect our competitors and others may have patents or may in the future obtain patents and claim that making, having made, using, selling, offering to sell, or importing our technologies infringes these patents. Defense of infringement and other claims, regardless of their merit, would involve substantial litigation expense and would be a substantial diversion of management and employee resources from our business. Parties making claims against us may be able to sustain the costs of complex patent litigation more effectively than we can because they have substantially greater resources. Parties making claims against us may be able to obtain injunctive or other relief, which could block our ability to develop, commercialize and sell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product or service introductions while we attempt to develop alternative products or services to avoid infringing third-party patents or proprietary rights. Defense of any lawsuit or failure to obtain any of these licenses could prevent us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8"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commercializing products or services, and the prohibition of sale of any of our technologies could materially affect our business and our ability to gain market acceptance for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our agreements with some of our partners,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Periodic maintenance fees, renewal fees, annuity fees and various other governmental fees on issued United States and most foreign patents and/or applications will be due to be paid to the USPTO and various governmental patent agencies outside of the United States at several stages over the lifetime of the patents and/or applications in order to maintain such patents and patent applications. We have systems in place to remind us to pay these fees, and we engage an outside service to pay such fees due to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if we or any future licensors fail to maintain the patents and patent applications covering technologies our competitors may be able to enter the market with similar or identical products or technology without infringing our patents and this circumstance would have a material adverse effect on our business.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Patent terms may be inadequate to protect our competitive position with our technology for an adequate amount of time.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technologies are obtained, once the patent life has expired, we may be open to competition from others. If our platform or technologies require extended development and/or regulatory review, patents protecting our platform or technologies might expire before or shortly after we are able to successfully commercialize them. As a result, our owned and licensed patent portfolio may not provide us with sufficient rights to exclude others from commercializing processes or technologies similar or identical to ours.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Some of our jointly owned intellectual property has been discovered through government 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United States federal government retains certain rights in inventions produced with its financial assistance under the Bayh-Dole Act. The federal government retains a “nonexclusive, nontransferable,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9"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it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fail to meet requirements of federal regulations. If the patent owner refuses to do so, the government may grant the license itself. Some of our jointly owned or licensed patents are subject to the provisions of the Bayh-Dole Act. If our licensors fail to comply with the regulations of the Bayh-Dole Act, they could lose title to any patents subject to such regulations, which could affect our license rights under the patents and our ability to stop others from using or commercializing similar or identical technology and products, or limit patent protection for our technology and products.</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 xml:space="preserve">Risks Related to Our Common Stock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share price may be volatile, and you could lose all or part of your investment.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market price of our common stock is volatile and subject to wide fluctuations in response to many risk factors listed in this section, and others beyond our control,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adverse results or delays in our preclinical studies or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any delay in filing an IND (or foreign equivalent) or BLA (or foreign equivalent) for our product candidates and any adverse development or perceived adverse development with respect to the FDA’s review of that IND or BLA;</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failure to successfully develop and commercialize, or otherwise generate revenues from partnered and/or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inability to obtain sufficient funding to advance our internally developed programs and invest in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actual or anticipated fluctuations in our financial condition and operating results, including fluctuations in our quarterly and annual results;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termination of partnership agreements by our partners or announcements that our partners will cease developing a product candidate from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introduction of new technologies or enhancements to existing technology by us or others in our industry;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inability to establish additional partnerships or expand the scope of existing partnerships;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recruitment or departures of key personnel;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announcements of clinical data, significant acquisitions, strategic partnerships, joint ventures or capital commitments by us or our competitors;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failure to meet the estimates and projections of the investment community or that we may otherwise provide to the public;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changes in the regulatory landscape that subject us to additional regulatory and legal requirements;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publication of research reports about us, our industry or our competitors, or biologic drug discovery in particular, or positive or negative recommendations or withdrawal of research coverage by securities analysts;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release of unfavorable publicity about us, our partners, our competitors, or the biopharmaceutical industry, including through press coverage or social media;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changes in the market valuations of similar companies;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overall performance of the equity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70"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sales of our common stock by us or our stockholders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trading volume of our common stock;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disputes or other developments relating to proprietary rights, including patents, litigation matters and our ability to obtain patent protection for our technologies;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significant lawsuits, including patent or stockholder litigation;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impact of public health crises, including the COVID-19 pandemic, on our business;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general political and economic conditions;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 events or factors, many of which are beyond our control.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the stock market in general, and the Nasdaq Global Select Market and technology and life sciences companies in particular, have experienced extreme price and volume fluctuations that have often been unrelated and/or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in the past have had, and in the future may have, a material weakness in our internal control over our financial reporting process. If we are unable to remediate an identified material weakness, we may not be able to accurately or timely report our financial condition or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past, we and our independent registered public accounting firm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Although we were able to remediate this past material weakness, there is no guarantee that we will not identify material weaknesses or significant deficiencies in our internal control over financial reporting in the future or that we will be able to remediate any such material weakness or significant deficiency in a timely manner or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identify future material weaknesses or significant deficiencies in our internal control over financial reporting,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 and our stock price may decline.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required, pursuant to Section 404 of the Sarbanes–Oxley Act, to furnish a report by management on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one or more material weaknesses in our internal control over financial reporting, we will be unable to assert that our internal control over financial reporting is effective. Any failure to remediate new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in the future, it could result in an adverse reaction in the financial markets due to a loss of confidence in the reliability of our financial statements, which may harm the market price of our common stock, and we may be subject to investigation or sanctions by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71"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historically identified, and may continue to identify, key business metrics to evaluate our business and technology, measure our performance, identify trends affecting our business, formulate financial projections and make strategic decisions, and any such metrics may not accurately reflect all aspects of our business needed to make such evaluations and decisions, in particular as our business continues to grow.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to our financial results, we have historically reviewed a number of operating and financial metrics, including number of programs under contract, the trend of potential downstream revenue terms (milestone payments and royalties) of the portfolio, the performance of the portfolio in probability of success in achieving clinical milestones as compared to historical averages and the performance of the portfolio in the time taken to achieve clinical milestones on a Net Present Value (NPV) basis, to evaluate our business, measure our performance, identify trends affecting our business, formulate financial projections and make strategic decisions. To date, we have only entered into a limited number of programs with respect to which we have or are positioned to negotiate royalty- and milestone-bearing licenses. Accordingly, we do not presently have sufficient information to make accurate predictions regarding our potential revenue and future financial performance.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metrics that we may identify may not accurately reflect all aspects of our business and we anticipate that these metrics may change or may be substituted for additional or different metrics as our business grows and as we introduce new solutions. We continue to evaluate our key business metrics in light of our current strategy and determine how to accurately measure the initiation, advancement, and overall progress of our internally developed programs. We cannot guarantee that the business metrics we choose to disclose related to our internally developed programs will be effective in measuring the potential of our pipeline or accurately predict the future development progress of any of our current or future programs. If we fail to review other relevant information or change or substitute the key business metrics we review as our business grows, our ability to accurately formulate financial projections and make strategic decisions may be compromised and our business, financial results and future growth prospects may be adversely impacted.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Future sales and issuances of our common stock or rights to purchase common stock could result in additional dilution of the percentage ownership of our stockholders and could cause our share price to fall.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expect that significant additional capital will be needed in the future to continue our planned operations, including for expanded drug creation and technology development activities.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Pursuant to our 2021 Stock Option and Incentive Plan (2021 Plan) we are authorized to grant stock options, restricted stock units, stock appreciation rights and other stock-based awards to our employees, directors and consultants. Pursuant to our 2021 Employee Stock Purchase Plan (2021 ESPP), we may sell shares of our common stock to eligible employees at a discount to the market price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March 31, 2026 the aggregate number of shares of our common stock that may be issued pursuant to our 2021 Plan, 2021 ESPP, and 2023 Inducement Plan are 7,681,193 shares, 4,511,265 shares, and 1,074,200 shares, respectively. The number of shares of common stock that may be issued pursuant to the 2021 Plan does not include outstanding equity awards. The number of shares of common stock reserved for issuance under the 2021 Plan and 2021 ESPP are automatically increased on each January 1 by 5% and 1%, respectively, of the total number of shares of common stock outstanding on December 31 of the preceding calendar year or a lesser number of shares determined by our board of directors. Unless our board of directors elects not to increase the number of shares available for future issuance each year, our stockholders will experience additional dilution, which could cause our share price to fall.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have filed a universal shelf registration statement on Form S-3 (which allows us to offer and sell securities from time to time pursuant to one or more offerings at prices and terms to be determined at the time of sale) subject to an aggregate offering amount stated therein, as well as registration statements on Form S-8 registering all shares of common stock that we may issue under our equity compensation and equity inducement plans or pursuant to equity awards made to newly hired employees outside of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72"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compensation plans. Such registered shares can be freely sold in the public market upon issuance, subject to volume limitations applicable to affiliates.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do not intend to pay dividends on our common stock, so any returns will be limited to the value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currently anticipate that we will retain future earnings for the development, operation, expansion and continued investment into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common stock. Any return to stockholders will therefore be limited to the appreciation of their common stock, which may never occur.</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principal stockholders and management own a significant percentage of our shares and will be able to exert significant influence over matters subject to stockholder approval.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April 30, 2026, our executive officers, directors, and 5% stockholders beneficially owned over 41%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Future sales of our common stock in the public market could cause our share price to fall.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Sales of a substantial number of shares of our common stock in the public market, including any time following the expiration of legal restrictions on resale or the perception in the market that the holders of a large number of shares of our common stock intend to sell shares, could reduce the market price of our common stock and impair our ability to raise capital through the sale of additional equity securities. In August 2025, we filed a registration statement on Form S-3 with respect to potential future sales of our securities, which was declared effective in August 2025. We have also filed registration statements on Form S-8 to register our common stock issuable pursuant to our equity incentive plans. Shares registered under the registration statements on Form S-8 will be available for sale in the public market subject to vesting arrangements and exercise of options. Additionally,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w:t>
      </w:r>
    </w:p>
    <w:p>
      <w:pPr>
        <w:pStyle w:val="TextBody"/>
        <w:bidi w:val="0"/>
        <w:spacing w:lineRule="auto" w:line="288" w:before="0" w:after="160"/>
        <w:jc w:val="left"/>
        <w:rPr/>
      </w:pPr>
      <w:r>
        <w:rPr>
          <w:rFonts w:ascii="Frutiger LT 55 Roman;sans-serif" w:hAnsi="Frutiger LT 55 Roman;sans-serif"/>
          <w:b w:val="false"/>
          <w:color w:val="000000"/>
          <w:sz w:val="20"/>
          <w:shd w:fill="FFFFFF" w:val="clear"/>
        </w:rPr>
        <w:t>Additionally, in August 2025, we entered into the Sales Agreement with TD</w:t>
      </w:r>
      <w:r>
        <w:rPr>
          <w:color w:val="000000"/>
        </w:rPr>
        <w:t xml:space="preserve"> </w:t>
      </w:r>
      <w:r>
        <w:rPr>
          <w:rFonts w:ascii="Frutiger LT 55 Roman;sans-serif" w:hAnsi="Frutiger LT 55 Roman;sans-serif"/>
          <w:b w:val="false"/>
          <w:color w:val="000000"/>
          <w:sz w:val="20"/>
        </w:rPr>
        <w:t xml:space="preserve">Securities (USA) LLC (the Sales Agent) with respect to an “at the market offering” program under which we may offer and sell, from time to time, shares of our common stock having an aggregate offering price of up to $100.0 million through the Sales Agent. </w:t>
      </w:r>
      <w:r>
        <w:rPr>
          <w:rFonts w:ascii="Frutiger LT 55 Roman;sans-serif" w:hAnsi="Frutiger LT 55 Roman;sans-serif"/>
          <w:b w:val="false"/>
          <w:color w:val="000000"/>
          <w:sz w:val="20"/>
          <w:shd w:fill="FFFFFF" w:val="clear"/>
        </w:rPr>
        <w:t>We will pay the Sales Agent a commission up to 3.0% of the gross sales proceeds of any shares sold under the Sales Agreement. Sales of a substantial number of shares of our common stock in the public market could occur at any time. These sales, or the perception in the market that the holders of a large number of shares of our common stock intend to sell shares, could reduce the market price of our common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An active trading market for our common stock may not continue to be maintained.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common stock began trading on the Nasdaq Global Select Market in July 2021, and we can provide no assurance that we will be able to continue maintaining an active trading market on the Nasdaq Global Select Market or any other exchange in the future. If an active trading market for our common stock is not maintained, or if we fail to satisfy the continued listing standards of the Nasdaq Global Select Market for any reason and our common stock is delisted, it may be difficult for our stockholders to sell shares without depressing the market price for the shares or at all. An inactive market may also impair our ability to raise additional capital by selling shares and may impair our ability to acquire other companies or technologies by using our shares as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73"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Provisions in our corporate charter documents and under Delaware law could make an acquisition of us more difficult and may prevent attempts by our stockholders to replace or remove our current management.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Provisions in our amended and restated certificate of incorporation (the “Restated Certificate”)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is divided into three classes, Class I, Class II and Class III, with each class serving staggered three-year terms, which may delay the ability of stockholders to change the membership of a majority of our board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stockholders may not act by written consent, which forces stockholder action to be taken at an annual or special meeting of our stockholders;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 special meeting of stockholders may be called only by the chairperson of the board of directors, the chief executive officer, or a majority of the board of directors, which may delay the ability of our stockholders to force consideration of a proposal or to take action, including the removal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amended and restated certificate of incorporation prohibits cumulative voting in the election of directors, which limits the ability of minority stockholders to elect director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may alter our bylaws without obtaining stockholder approval;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required approval of the holders of at least 75% of the voting power of all of the then outstanding shares of voting stock to adopt, amend or repeal our bylaws or repeal the provisions of our amended and restated certificate of incorporation regarding the election and removal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stockholders must include management’s nominees on its proxy card in contested director elections, which may decrease the likelihood that a potential acquiror can replace a majority of the Board;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acquiror.</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amended and restated certificate of incorporation provides that the Court of Chancery of the State of Delaware is the exclusive forum for certain disputes between us and our stockholders and that the federal district courts of the United States will be the exclusive forum for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4"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actions under federal securities laws, which could limit our stockholders’ ability to obtain a favorable judicial forum for disputes with us or our directors, officers or employees.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provided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The choice of forum provisions do not apply to suits brought to enforce any liability or duty created by the Exchange Act or any other claim for which the federal courts have exclusive jurisdiction.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certificate of incorporation to be inapplicable or unenforceable in an action, we may incur additional costs associated with resolving the dispute in other jurisdictions, which could materially adversely affect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ability to use our net operating losses and certain other tax attributes may be limited.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ability to use our U.S. federal and state net operating losses (“NOLs”) to offset potential future taxable income and related income taxes that would otherwise be due is dependent upon our generation of future taxable income. We cannot predict with certainty when, or whether, we will generate sufficient taxable income to use all of our NOLs.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Under Sections 382 and 383 of the Internal Revenue Code of 1986, as amended if a corporation undergoes an “ownership change,” generally defined as a cumulative change of more than 50 percentage points (by value) in its equity ownership by certain stockholders over a rolling three-year period, the corporation’s ability to use its pre-change NOL carryforwards and other pre-change tax attributes (such as research tax credits) to offset its post-change taxable income or taxes may be limited. We have experienced at least one ownership change in the past, and we may experience ownership changes in the future as a result of shifts in our stock ownership (some of which shifts are outside our control). As a result, even if we generate sufficient taxable income, our ability to use our pre-change NOL carryforwards to offset such taxable income may be subject to limitations. Similar provisions of state tax law may also apply to limit our use of accumulated state tax attributes. As a result, even if we attain profitability, we may be unable to use a material portion of our NOL carryforwards and other tax attributes, which could adversely affect our future cash flows.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Changes in tax law may adversely affect us or our investors.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on July 4, 2025, the OBBBA was signed into law, which enacts significant changes to U.S. tax and related laws. Some of the provisions of the OBBBA affecting corporations include but are not limited to (i) allowing one hundred percent expensing of domestic research and development expenses for tax years beginning after December 31, 2024, (ii) increasing the limit of the deduction of business interest expense deduction to thirty percent of earnings before interest, depreciation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75"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amortization and (iii) allowing one hundred percent bonus depreciation on eligible property acquired after January 19, 2025. We have analyzed the impacts of the OBBBA and reflected them in the current period. These impacts do not have a material effect on the tax rate for the year ended December 31, 2025. Certain provisions under OBBBA, primarily related to the international taxation provisions, will take effect in future years. We do not anticipate a material impact to our effective income tax rate in the future as these international provisions become effective.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General Risk Factors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securities or industry analysts do not publish research or publish inaccurate or unfavorable research about our business, our share price and trading volume could decline.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trading market for our common stock will depend in part on the research and reports that securities or industry analysts publish about us or our business. If an insufficient number of securities or industry analysts commence and continue coverage of our company, the trading price for our common stock would likely be negatively impacted. After securities or industry analysts initiate coverage, if one or more of the analysts who cover us downgrades our common stock or publishes inaccurate or unfavorable research about our business, our share price may decline. If one or more of these analysts ceases coverage of our company or fails to publish reports on us regularly, demand for our stock could decrease, which might cause our share price and trading volume to decline.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Unfavorable U.S. or global economic conditions could adversely affect our business, financial condition or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results of operations could be adversely affected by general conditions in the global economy and financial markets. A severe or prolonged economic downturn could result in a variety of risks to our business, including weakened demand for our technologies and our ability to raise additional capital when needed on favorable terms, if at all. Recently, the rate of inflation has increased throughout the U.S. economy. Inflation may adversely affect us by increasing the costs associated with performing research and development on internal research initiatives and partnered programs. We may experience significant increases in the prices of labor, consumables, and other costs of doing business. In an inflationary environment, such cost increases may outpace our expectations, causing us to use cash faster than forecasted. A weak or declining economy may also strain our partners, possibly resulting in supply disruption, or cause delays in their payments to us. In addition, the U.S. has recently imposed blanket tariffs of at least 10% on virtually all imports to the U.S. and significantly higher tariffs applicable to imports from many countries, which have resulted in other countries imposing additional tariffs on imports from the U.S. In addition, the current U.S. presidential administration has published special tariffs on certain imported pharmaceutical products, which the administration has scheduled to take effect in mid-2026 and could lead to corresponding punitive actions by the countries with which the U.S. trades.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such as in the case of the closure and subsequent placement into receivership with the Federal Deposit Insurance Corporation (FDIC) of Silicon Valley Bank in March 2023, and may in the future lead to market-wide liquidity problems. In those cases, borrowers under credit agreements, letters of credit and certain other financial instruments with any financial institution that is placed into receivership by the FDIC may be unable to access undrawn amounts thereunder.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6"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Additionally, there is no guarantee that the U.S. Department of Treasury, FDIC and Federal Reserve Board will provide access to uninsured funds in the future in the event of the closure of other banks or financial institutions, or that they would do so in a timely fashion. 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or the supervision thereof.</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could have material adverse impacts on our liquidity and our current and/or projected business operations and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further deterioration in the macroeconomic economy or financial services industry could also lead to losses or defaults by our partners or vendors,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vendor may determine that it will no longer deal with us as a customer. In addition, a partner or vendor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partner or vendor bankruptcy or insolvency, or the failure of any partner to make payments when due, or any breach or default by a partner or vendor, or the loss of any significant vendor relationships, could result in material losses to us and may have a material adverse impact on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Raising additional capital may cause dilution to our existing stockholders, restrict our operations or require us to relinquish rights to our technologies.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Any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grant licenses on terms unfavorable to us.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Additionally, pursuant to the ATM, the number of shares that are sold by the Sales Agent, if any, after we request that sales be made will fluctuate based on the market price of our common stock during the sales period and limits we set with Sales Agent. Therefore, it is not possible to predict the number of shares that will be ultimately issued and sold by us pursuant to the Sales Agreement, but any additional sales will cause immediate dilution to our then existing stockholders.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employees, consultants and commercial partners may engage in misconduct or other improper activities, including non-compliance with regulatory standards and requirements, and insider trading.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exposed to the risk of fraud or other misconduct by our employees, consultants, advisors, and partners. Misconduct by these parties could include intentional failures to comply with the applicable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7"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employee misconduct,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we could incur substantial costs, including legal fees and divert the attention of management in defending ourselves against any of these claims or investigations.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insurance policies are expensive and protect us only from some business risks, which leaves us exposed to significant uninsured liabilities.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do not carry insurance for all categories of risk that our business may encounter and our policies have limits and significant deductibles. Some of the policies we currently maintain include general liability, property, umbrella and directors’ and officers’ insurance.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A successful liability claim or series of claims in which judgments exceed our insurance coverage could adversely affect our business, financial condition, results of operations and prospects, including preventing or limiting the use of our platform to generate products.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Operating as a public company makes it difficult and more expensive for us to maintain director and officer liability insurance, and we may be required to accept reduced policy limits and coverage or incur substantially higher costs to obtain the same or similar coverage than as a private company. As a result, it may be more difficult for us to attract and retain qualified people to serve on our board of directors, our board committees or as executive officers. We do not know if we will be able to maintain existing insurance with adequate levels of coverage. Any significant uninsured liability may require us to pay substantial amounts, which would adversely affect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Cybersecurity incidents, data breaches, loss of data and other disruptions could compromise sensitive information related to our business or prevent us from accessing critical information and expose us to liability, which could adversely affect our business and our reputation.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ordinary course of our business, we generate and store confidential and sensitive data, including research data, intellectual property and proprietary business information owned or controlled by ourselves or our employees, partners and other third parties upon which we rely. We manage and maintain our applications and data utilizing a combination of on-site systems and cloud-based data centers. We utilize external security and infrastructure vendors to manage parts of our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use or disclosure, accidental exposure, unauthorized access, inappropriate modification, wrongful conduct by employees or vendors, remediation costs, lost revenues, damages to our competitiveness, stock price and long-term stockholder value, and the risk of our being unable to adequately monitor and audit and modify our controls over our critical information. This risk extends to the third party vendors, subcontractors and partners we use to manage this sensitive data or otherwise process it on our behalf. Further, to the extent our employees may work remotely, additional risks may arise depending on the networking and security put into place by the employees and where they choose to work, including at home, while in transit or in other public locations. The secure processing, storage, maintenance and transmission of this critical information are vital to our operations and business strategy, and we devote significant resources to protecting such information.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Like other companies in our industry, we, and our third-party vendors, have experienced threats and cybersecurity incidents relating to our information technology systems and infrastructure. Although we seek to take reasonable measures to protect confidential and sensitive data from unauthorized access, use or disclosure, our information technology systems and infrastructure, and those of our vendors, subcontractors,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8"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and partners upon which we rely, are vulnerable to cyberattacks, computer viruses, bugs, worms, or other malicious codes, malware (including as a result of advanced persistent threat intrusions), and other attacks by computer hackers, cracking, application security attacks, ransomware, extortion events, social engineering fraud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and other similar threats by hackers or breaches or compromises caused by erroneous actions or inactions by our employees, consultants, third parties or their contracted service providers, malfeasance or other malicious or inadvertent disruptions. Any such cybersecurity incident, data breach or interruption could compromise our networks and the information stored there could be accessed by unauthorized parties, publicly disclosed, lost, misused, or stolen. Any such access, breach, or other loss of information could require us to notify impacted stakeholders (including affected individuals, regulators and investors) and result in legal claims or proceedings and related legal exposure and liabilities, including fines and penalties. Unauthorized access, loss, misuse, or dissemination could also disrupt our operations and damage our reputation, any of which could adversely affect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activities of cyber threat actors and other third parties, including nation-state actors directly and indirectly associated with military and geopolitical conflicts and defense activities have been increasing in number and sophistication. During times of war and other major conflicts, we, the third parties upon which we rely, and our partners may be vulnerable to a heightened risk of such cyberattacks, including retaliatory cyberattacks, that could materially disrupt our systems and operations, supply chain, and ability to develop our programs. In the event we experience a cyber-attack, data breach, cybersecurity incident, or other security event, third parties may gather, collect, or infer sensitive information about us from public sources, data brokers, or other means that reveals competitively sensitive details about our organization, which could be used to undermine our competitive advantage or market position.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costs related to cybersecurity incidents, data breaches, disruptions or other security events could be significant and cause reputational damage and loss of existing and future business and could cause us to incur substantial fines and related expenses and legal exposure. If the information technology systems of our partners, contractors or consultants become subject to disruptions or cybersecurity incidents or data breaches, we may have insufficient recourse against such third parties and we may have to expend significant resources in connection with our efforts to mitigate the impact of such events, and to develop and implement processes and other remedial measures to address future impacts to our business.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Although we maintain cybersecurity insurance coverage, we cannot be certain that such coverage will be adequate to completely cover all data security liabilities actually incurred, or any indemnification claims against us relating to any incident, nor that it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or results of operations. Additionally, our cybersecurity insurance coverage is unlikely to cover indirect or consequential damages, such as reputational harm or loss of current or future business relationships as a result of a security incidents or cyberattack.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Natural and man-made disasters, including cyberattacks and other events beyond our control could severely disrupt our operations, or those of our partners, and have a material adverse impact on our business, results of operations, financial condition and prospects. If a natural disaster, power outage, cybersecurity attack or other event occurred that prevented us from using all or a significant portion of our headquarters, damaged critical infrastructure, such as our laboratory facilities or those of our partners, limited our or our partners’ ability to access or use our respective digital information systems or that otherwise disrupted our respective operations, it may be difficult or, in certain cases, impossible for us or our partners to continue our respective businesses for a substantial period of time. The disaster recovery and business continuity plans we and our partners currently have in place may not prove adequate in the event of a serious disaster or similar event, which could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9"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Social media platforms present new risks and challenges to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social media continues to expand, it also presents us with new risks and challenges. Social media is increasingly being used to communicate information about us, our technology and our programs. Social media practices in the pharmaceutical and biotechnology industries are evolving, which creates uncertainty and risk of noncompliance with regulations applicable to our business. In addition, there is risk of inaccurate disclosure of information about us, our technology, or our programs on any social media platform. Although we have adopted policies and procedures around the use of social media by our employees, we may be unable to control the disclosure of non-public information by our workforce. Any of these events or our failure to comply with applicable regulations could expose us to liability, restrictive regulatory actions, irreversible damage to our reputation, brand image and goodwill, or have a material adverse effect on our business, prospects, operating results, and financial condition and could adversely affect the price of our common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are an emerging growth company, and the reduced reporting requirements applicable to emerging growth companies could make our common stock less attractive to investors.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an emerging growth company, as defined in the JOBS Act, and will remain an emerging growth company until the earlier of (a) the last day of the fiscal year in which we have total annual gross revenue of $1.235 billion or more; (b) December 31, 2026, the last day of the fiscal year following the fifth anniversary of the date of the completion of our initial public offering; (c) the date on which we have issued more than $1.0 billion in nonconvertible debt during the previous three years; or (d) the date we qualify as a “large accelerated filer,” which requires the market value of our common stock that are held by non-affiliates to exceed $700.0 million as of the prior June 30th. Under the JOBS Act, emerging growth companies can delay adopting new or revised accounting standards issued subsequent to the enactment of the JOBS Act until such time as those standards apply to private companies. Section 107 of the JOBS Act provides that an emerging growth company may take advantage of the extended transition period provided in Section 7(a)(2)(B) of the Securities Act of 1933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Subject to certain conditions, as an emerging growth company, we may rely on certain other exemptions and reduced reporting requirements, including without limitation (i) providing an auditor’s attestation report on our system of internal controls over financial reporting pursuant to Section 404(b) of the Sarbanes-Oxley Act and (ii) complying with any requirement by the Public Company Accounting Oversight Board (PCAOB) regarding mandatory audit firm rotation or a supplement to the auditor’s report providing additional information about the audit and the consolidated financial statements, known as the auditor discussion and analysis.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are also a “smaller reporting company” as defined in Rule 12b-2 of the Exchange Act and have elected to take advantage of certain of the scaled back disclosure requirements available to smaller reporting companies such as avoiding the extensive narrative disclosure required of other reporting companies, particularly in the description of executive compensation. We will remain a smaller reporting company until (a) the last day of the fiscal year in which we have total annual gross revenue of less than $100 million and the market value of our common stock held by non-affiliates exceeds $700.0 million as of the prior June 30th, or (b) the last day of the fiscal year in which we have total annual gross revenue exceeding $100 million and the market value of our common stock held by non-affiliates exceeds $250.0 million. In August 2025, the SEC released a Compliance and Disclosure Interpretation clarifying the filer status transition for registrants that lose their smaller reporting company status based on the revenue tests. Due to this interpretation, we will remain a non-accelerated filer for filings due in the fiscal year immediately following the loss of smaller reporting company status, allowing us to retain the exception from the auditor attestation requirement on internal control over financial reporting. However, the interpretation specifies that we will lose eligibility for all other smaller reporting company accommodations beginning with the Form 10-Q for the first fiscal quarter of the year after losing smaller reporting company status.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80"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loss of emerging growth company status will not impact our “non-accelerated filer” status, which also provides an exemption from the auditor attestation requirement with respect to internal control over financial reporting.</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have incurred and will continue to incur significant increased costs as a result of operating as a public company, and our management will be required to devote substantial time to new compliance initiatives.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a public company, we have incurred and will continue to incur significant legal, accounting, insurance and other expenses.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“say-on-pay” and proxy access. The JOBS Act permits emerging growth companies to implement many of these requirements over a longer period and up to December 31, 2026, the last day of the fiscal year following the fifth anniversary of the pricing of our IPO. As an emerging growth company, we are currently taking advantage of the reduced reporting requirements available to emerging growth companies under the JOBS Act, but we will be required to implement the more stringent requirements once we no longer qualify as an emerging growth company, and may incur significant additional expenses as a result.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In the ordinary course as a public company, the SEC and other U.S. and foreign regulatory and governmental agencies have initiated and may in the future initiate requests, comments and/or investigations regarding legal, regulatory and compliance matters of the Company, which could require us to devote significant time, attention and resources to respond to these, and, if unfavorably resolved, could result in our being subject to sanctions or civil penalties or fines, all of which could have a material adverse impact on our business, results of operation and financial condition. We cooperate with any requests from any regulatory and governmental agencies.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These rules and regulations applicable to public companies have increased and will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limit our investments in business expansion, or increase the technology development fees and other payment terms we negotiate with partners. For example, these rules and regulations have made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Pursuant to Section 404, we are required to furnish a report by our management on our internal control over financial reporting. To achieve compliance with Section 404 annually, we will engage in a process to document and evaluate our internal control over financial reporting, which is both costly and challenging. In this regard, we will need to continue to dedicate internal resources, engage outside consultants, execute our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In addition, investors’ perceptions that our internal controls are inadequate or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81"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unable to produce accurate financial statements on a timely basis may harm the market price of our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results of operations and financial condition could be materially adversely affected by changes in accounting principles.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Adoption of a change in accounting principles or interpretations could have a significant effect on our reported results of operations and could affect the reporting of transactions completed before the adoption of such change.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our estimates or judgments relating to our critical accounting policies prove to be incorrect or financial reporting standards or interpretations change, our results of operations could be adversely affected.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preparation of financial statements in conformity with U.S. GAAP requires management to make estimates and assumptions that affect the amounts reported in the condensed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Estimates.” The results of these estimates form the basis for making judgments about the carrying values of assets and liabilities that are not readily apparent from other sources. Significant assumptions and estimates used in preparing our condensed consolidated financial statements include the estimated variable consideration included in the transaction price in our contracts with partners, contingent consideration, goodwill impairment, and long-lived asset impairment evaluations.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disclosure controls and procedures may not prevent or detect all errors or acts of fraud.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2. Unregistered Sales of Equity Securities and Use of Proceeds</w:t>
      </w:r>
    </w:p>
    <w:p>
      <w:pPr>
        <w:pStyle w:val="TextBody"/>
        <w:bidi w:val="0"/>
        <w:spacing w:lineRule="auto" w:line="288" w:before="0" w:after="120"/>
        <w:ind w:left="0" w:right="0" w:hanging="72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3. Defaults Upon Senior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2"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4. Mine Safety Disclosures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5. Other Information</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(c) Insider Trading Arrangements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During the quarter ended March 31, 2026, none of the Company’s directors or officers (as defined in Rule 16a-1(f) under the Exchange Act) adopted, modified or terminated a plan or other arrangement intended to satisfy the affirmative defense conditions of Rule 10b5-1(c) or any non-Rule 10b5-1 trading arrangements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3"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Frutiger LT 55 Roman;sans-serif" w:hAnsi="Frutiger LT 55 Roman;sans-serif"/>
          <w:b/>
          <w:color w:val="000000"/>
          <w:sz w:val="20"/>
        </w:rPr>
      </w:pPr>
      <w:r>
        <w:rPr>
          <w:rFonts w:ascii="Frutiger LT 55 Roman;sans-serif" w:hAnsi="Frutiger LT 55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39"/>
        <w:gridCol w:w="299"/>
        <w:gridCol w:w="300"/>
        <w:gridCol w:w="109"/>
        <w:gridCol w:w="109"/>
        <w:gridCol w:w="109"/>
        <w:gridCol w:w="2857"/>
        <w:gridCol w:w="2687"/>
        <w:gridCol w:w="2693"/>
        <w:gridCol w:w="109"/>
        <w:gridCol w:w="109"/>
        <w:gridCol w:w="109"/>
        <w:gridCol w:w="109"/>
        <w:gridCol w:w="109"/>
        <w:gridCol w:w="158"/>
      </w:tblGrid>
      <w:tr>
        <w:trPr/>
        <w:tc>
          <w:tcPr>
            <w:tcW w:w="3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Exhibit No.</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Frutiger LT 55 Roman;sans-serif" w:hAnsi="Frutiger LT 55 Roman;sans-serif"/>
                  <w:b w:val="false"/>
                  <w:color w:val="0000FF"/>
                  <w:sz w:val="18"/>
                  <w:u w:val="single"/>
                </w:rPr>
                <w:t>Sales Agreement, dated August 12, 2025, by and between Absci Corporation and TD Securities (USA) LLC (filed as Exhibit 1.2 to the Form S-3, File No. 333-289541, filed by Absci Corporation on August 12, 2025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Frutiger LT 55 Roman;sans-serif" w:hAnsi="Frutiger LT 55 Roman;sans-serif"/>
                  <w:b w:val="false"/>
                  <w:color w:val="0000FF"/>
                  <w:sz w:val="18"/>
                  <w:u w:val="single"/>
                </w:rPr>
                <w:t>Agreement and Plan of Merger by and among Absci Corporation, Target Discovery Merger Sub I, Inc., Target Discovery Merger Sub II, LLC and Totient, Inc., dated June 4, 2021 (filed as Exhibit 2.1 to the Form S-1, File No. 333-257553, filed by Absci Corporation on July 8, 2021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Frutiger LT 55 Roman;sans-serif" w:hAnsi="Frutiger LT 55 Roman;sans-serif"/>
                  <w:b w:val="false"/>
                  <w:color w:val="0000FF"/>
                  <w:sz w:val="18"/>
                  <w:u w:val="single"/>
                </w:rPr>
                <w:t>Amended and Restated Certificate of Incorporation of Absci Corporation (filed as Exhibit 3.1 to the Form 8-K, File No. 001-40646, filed by Absci Corporation on June 16, 2023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Frutiger LT 55 Roman;sans-serif" w:hAnsi="Frutiger LT 55 Roman;sans-serif"/>
                  <w:b w:val="false"/>
                  <w:color w:val="0000FF"/>
                  <w:sz w:val="18"/>
                  <w:u w:val="single"/>
                </w:rPr>
                <w:t>Amended and Restated Bylaws of the Absci Corporation (filed as Exhibit 3.1 to the Form 8-K, File No. 001-40646, filed by Absci Corporation on December 15, 2022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Frutiger LT 55 Roman;sans-serif" w:hAnsi="Frutiger LT 55 Roman;sans-serif"/>
                  <w:b w:val="false"/>
                  <w:color w:val="0000FF"/>
                  <w:sz w:val="18"/>
                  <w:u w:val="single"/>
                </w:rPr>
                <w:t>Specimen Common Stock Certificate (filed as Exhibit 4.1 to the Form S-1, File No. 333-257553, filed by Absci Corporation on July 19,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Frutiger LT 55 Roman;sans-serif" w:hAnsi="Frutiger LT 55 Roman;sans-serif"/>
                  <w:b w:val="false"/>
                  <w:color w:val="0000FF"/>
                  <w:sz w:val="18"/>
                  <w:u w:val="single"/>
                </w:rPr>
                <w:t>Investors’ Rights Agreement by and among the Registrant and certain of its stockholders dated October 19, 2020 (filed as Exhibit 4.2 to the Form S-1, File No. 333-257553, filed by Absci Corporation on June 30, 2021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Frutiger LT 55 Roman;sans-serif" w:hAnsi="Frutiger LT 55 Roman;sans-serif"/>
                  <w:b w:val="false"/>
                  <w:color w:val="000080"/>
                  <w:sz w:val="18"/>
                  <w:u w:val="single"/>
                </w:rPr>
                <w:t>Registration Rights Agreement by and between the Registrant and Advanced Micro Devices, Inc., dated as of January 7, 2025 (filed as Exhibit 4.4 to the Form 10-K, File No. 002-40646, filed by Absci Corporation on March 18, 2025)</w:t>
              </w:r>
            </w:hyperlink>
            <w:hyperlink r:id="rId10">
              <w:r>
                <w:rPr>
                  <w:rStyle w:val="InternetLink"/>
                  <w:rFonts w:ascii="Frutiger LT 55 Roman;sans-serif" w:hAnsi="Frutiger LT 55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bsci-arnonxemployeedirect.htm">
              <w:r>
                <w:rPr>
                  <w:rStyle w:val="InternetLink"/>
                  <w:rFonts w:ascii="Frutiger LT 55 Roman;sans-serif" w:hAnsi="Frutiger LT 55 Roman;sans-serif"/>
                  <w:b w:val="false"/>
                  <w:color w:val="000080"/>
                  <w:sz w:val="18"/>
                  <w:u w:val="single"/>
                </w:rPr>
                <w:t>A</w:t>
              </w:r>
            </w:hyperlink>
            <w:hyperlink w:anchor="absci-arnonxemployeedirect.htm">
              <w:r>
                <w:rPr>
                  <w:rStyle w:val="InternetLink"/>
                  <w:rFonts w:ascii="Frutiger LT 55 Roman;sans-serif" w:hAnsi="Frutiger LT 55 Roman;sans-serif"/>
                  <w:b w:val="false"/>
                  <w:color w:val="000080"/>
                  <w:sz w:val="18"/>
                  <w:u w:val="single"/>
                </w:rPr>
                <w:t xml:space="preserve">mended and Restated </w:t>
              </w:r>
            </w:hyperlink>
            <w:hyperlink w:anchor="absci-arnonxemployeedirect.htm">
              <w:r>
                <w:rPr>
                  <w:rStyle w:val="InternetLink"/>
                  <w:rFonts w:ascii="Frutiger LT 55 Roman;sans-serif" w:hAnsi="Frutiger LT 55 Roman;sans-serif"/>
                  <w:b w:val="false"/>
                  <w:color w:val="000080"/>
                  <w:sz w:val="18"/>
                  <w:u w:val="single"/>
                </w:rPr>
                <w:t>Non-Employee Director Compensation Policy, effective January 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2026q110xq.htm">
              <w:r>
                <w:rPr>
                  <w:rStyle w:val="InternetLink"/>
                  <w:rFonts w:ascii="Frutiger LT 55 Roman;sans-serif" w:hAnsi="Frutiger LT 55 Roman;sans-serif"/>
                  <w:b w:val="false"/>
                  <w:color w:val="0000FF"/>
                  <w:sz w:val="18"/>
                  <w:u w:val="single"/>
                </w:rPr>
                <w:t>Certification of Chief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2026q110xq.htm">
              <w:r>
                <w:rPr>
                  <w:rStyle w:val="InternetLink"/>
                  <w:rFonts w:ascii="Frutiger LT 55 Roman;sans-serif" w:hAnsi="Frutiger LT 55 Roman;sans-serif"/>
                  <w:b w:val="false"/>
                  <w:color w:val="0000FF"/>
                  <w:sz w:val="18"/>
                  <w:u w:val="single"/>
                </w:rPr>
                <w:t>Certification of Chief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2026q110xq.htm">
              <w:r>
                <w:rPr>
                  <w:rStyle w:val="InternetLink"/>
                  <w:rFonts w:ascii="Frutiger LT 55 Roman;sans-serif" w:hAnsi="Frutiger LT 55 Roman;sans-serif"/>
                  <w:b w:val="false"/>
                  <w:color w:val="0000FF"/>
                  <w:sz w:val="18"/>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2026q110xq.htm">
              <w:r>
                <w:rPr>
                  <w:rStyle w:val="InternetLink"/>
                  <w:rFonts w:ascii="Frutiger LT 55 Roman;sans-serif" w:hAnsi="Frutiger LT 55 Roman;sans-serif"/>
                  <w:b w:val="false"/>
                  <w:color w:val="0000FF"/>
                  <w:sz w:val="18"/>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    Represents management compensation plan, contract or arrangement.</w:t>
      </w:r>
    </w:p>
    <w:p>
      <w:pPr>
        <w:pStyle w:val="TextBody"/>
        <w:bidi w:val="0"/>
        <w:spacing w:lineRule="auto" w:line="288" w:before="0" w:after="0"/>
        <w:ind w:left="0" w:right="0" w:hanging="3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    Filed herewith.</w:t>
      </w:r>
    </w:p>
    <w:p>
      <w:pPr>
        <w:pStyle w:val="TextBody"/>
        <w:bidi w:val="0"/>
        <w:spacing w:lineRule="auto" w:line="288" w:before="0" w:after="0"/>
        <w:ind w:left="0" w:right="0" w:hanging="3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    The certifications attached as Exhibit 32.1 and Exhibit 32.2 that accompany this Quarterly Report on Form 10-Q are not deemed filed with the SEC and are not to be incorporated by reference into any filing of the Registrant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4"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83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Signatures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664"/>
        <w:gridCol w:w="583"/>
        <w:gridCol w:w="587"/>
        <w:gridCol w:w="343"/>
        <w:gridCol w:w="343"/>
        <w:gridCol w:w="343"/>
        <w:gridCol w:w="2148"/>
        <w:gridCol w:w="2148"/>
        <w:gridCol w:w="3046"/>
      </w:tblGrid>
      <w:tr>
        <w:trPr/>
        <w:tc>
          <w:tcPr>
            <w:tcW w:w="6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ABSCI CORPORATION</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May 7, 2026</w:t>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Zachariah Jonasson</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Zachariah Jonasson, Ph.D.</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Chief Financial Officer (Principal Financial Officer) and Chief Business Officer</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May 7, 2026</w:t>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7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Todd Bedrick</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Todd Bedrick</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Chief Accounting Officer (Principal Accounting Officer)</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5"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ABSCI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AMENDED AND RESTATED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NON-EMPLOYEE DIRECTOR COMPENSATION POLICY</w:t>
      </w:r>
    </w:p>
    <w:p>
      <w:pPr>
        <w:pStyle w:val="TextBody"/>
        <w:bidi w:val="0"/>
        <w:spacing w:before="0" w:after="0"/>
        <w:jc w:val="center"/>
        <w:rPr/>
      </w:pPr>
      <w:r>
        <w:rPr/>
      </w:r>
    </w:p>
    <w:p>
      <w:pPr>
        <w:pStyle w:val="TextBody"/>
        <w:bidi w:val="0"/>
        <w:spacing w:lineRule="auto" w:line="288" w:before="0" w:after="240"/>
        <w:jc w:val="both"/>
        <w:rPr/>
      </w:pPr>
      <w:r>
        <w:rPr>
          <w:rFonts w:ascii="Times New Roman;serif" w:hAnsi="Times New Roman;serif"/>
          <w:b w:val="false"/>
          <w:color w:val="000000"/>
          <w:sz w:val="24"/>
        </w:rPr>
        <w:t xml:space="preserve">The purpose of this Non-Employee Director Compensation Policy (as amended, restated or otherwise modified from time to time, the “Policy”) of Absci Corporation (the “Company”) is to provide a total compensation package that enables the Company to attract and retain, on a long-term basis, high-caliber directors who are not employees or officers of the Company or its subsidiaries (“Outside Directors”). </w:t>
      </w:r>
      <w:r>
        <w:rPr>
          <w:rFonts w:ascii="Times New Roman;serif" w:hAnsi="Times New Roman;serif"/>
          <w:b w:val="false"/>
          <w:color w:val="000000"/>
          <w:sz w:val="23"/>
        </w:rPr>
        <w:t xml:space="preserve">This Policy became effective as of the effective time of the registration statement for the Company’s initial public offering of its equity securities, and thereafter any amendments, restatements or other modifications hereto will become effective as of the date specified by the Company’s Board of Directors (the “Effective Date”). </w:t>
      </w:r>
      <w:r>
        <w:rPr>
          <w:rFonts w:ascii="Times New Roman;serif" w:hAnsi="Times New Roman;serif"/>
          <w:b w:val="false"/>
          <w:color w:val="000000"/>
          <w:sz w:val="24"/>
        </w:rPr>
        <w:t>In furtherance of the purpose stated above, all Outside Directors shall be paid compensation for services provided to the Company as set forth below:</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Cash Retainers</w:t>
      </w:r>
    </w:p>
    <w:p>
      <w:pPr>
        <w:pStyle w:val="TextBody"/>
        <w:bidi w:val="0"/>
        <w:spacing w:lineRule="auto" w:line="288" w:before="0" w:after="240"/>
        <w:jc w:val="both"/>
        <w:rPr/>
      </w:pPr>
      <w:r>
        <w:rPr>
          <w:rFonts w:ascii="Times New Roman;serif" w:hAnsi="Times New Roman;serif"/>
          <w:b w:val="false"/>
          <w:color w:val="000000"/>
          <w:sz w:val="24"/>
          <w:u w:val="single"/>
        </w:rPr>
        <w:t>Annual Retainer for Board Membership</w:t>
      </w:r>
      <w:r>
        <w:rPr>
          <w:rFonts w:ascii="Times New Roman;serif" w:hAnsi="Times New Roman;serif"/>
          <w:b w:val="false"/>
          <w:color w:val="000000"/>
          <w:sz w:val="24"/>
        </w:rPr>
        <w:t>: $45,000 for general availability and participation in meetings and conference calls of the Company’s Board of Directors (the “Board of Directors”), to be paid quarterly in arrears, pro-rated based on the number of actual days served by the director during such calendar quarter. No additional compensation will be paid for attending individual meetings of the Board of Directors.</w: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Additional Annual Retainer for </w:t>
      </w:r>
    </w:p>
    <w:p>
      <w:pPr>
        <w:pStyle w:val="TextBody"/>
        <w:bidi w:val="0"/>
        <w:spacing w:lineRule="auto" w:line="288" w:before="0" w:after="240"/>
        <w:jc w:val="both"/>
        <w:rPr/>
      </w:pPr>
      <w:r>
        <w:rPr>
          <w:rFonts w:ascii="Times New Roman;serif" w:hAnsi="Times New Roman;serif"/>
          <w:b w:val="false"/>
          <w:color w:val="000000"/>
          <w:sz w:val="24"/>
          <w:u w:val="single"/>
        </w:rPr>
        <w:t>Non-Executive Chairperson / Lead Independent Director</w:t>
      </w:r>
      <w:r>
        <w:rPr>
          <w:rFonts w:ascii="Times New Roman;serif" w:hAnsi="Times New Roman;serif"/>
          <w:b w:val="false"/>
          <w:color w:val="000000"/>
          <w:sz w:val="24"/>
        </w:rPr>
        <w:t>:                 $35,000</w:t>
      </w:r>
    </w:p>
    <w:p>
      <w:pPr>
        <w:pStyle w:val="TextBody"/>
        <w:bidi w:val="0"/>
        <w:spacing w:lineRule="auto" w:line="288" w:before="0" w:after="240"/>
        <w:jc w:val="both"/>
        <w:rPr/>
      </w:pPr>
      <w:r>
        <w:rPr>
          <w:rFonts w:ascii="Times New Roman;serif" w:hAnsi="Times New Roman;serif"/>
          <w:b w:val="false"/>
          <w:color w:val="000000"/>
          <w:sz w:val="24"/>
          <w:u w:val="single"/>
        </w:rPr>
        <w:t>Additional Annual Retainers for Committee Membership</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Audit Committee Chairperson:        $20,000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Audit Committee member:        $10,000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Compensation Committee Chairperson:        $15,000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Compensation Committee member:        $7,500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Nominating and Corporate Governance Committee Chairperson:        $10,000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Nominating and Corporate Governance Committee member:        $5,000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Chairperson and committee member retainers are in addition to retainers for members of the Board of Directors. No additional compensation will be paid for attending individual committee meetings of the Board of Directors.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Equity Retainers</w:t>
      </w:r>
    </w:p>
    <w:p>
      <w:pPr>
        <w:pStyle w:val="TextBody"/>
        <w:bidi w:val="0"/>
        <w:spacing w:lineRule="auto" w:line="288" w:before="0" w:after="240"/>
        <w:jc w:val="both"/>
        <w:rPr/>
      </w:pPr>
      <w:r>
        <w:rPr>
          <w:rFonts w:ascii="Times New Roman;serif" w:hAnsi="Times New Roman;serif"/>
          <w:b w:val="false"/>
          <w:color w:val="000000"/>
          <w:sz w:val="24"/>
          <w:u w:val="single"/>
        </w:rPr>
        <w:t>Initial Award</w:t>
      </w:r>
      <w:r>
        <w:rPr>
          <w:rFonts w:ascii="Times New Roman;serif" w:hAnsi="Times New Roman;serif"/>
          <w:b w:val="false"/>
          <w:color w:val="000000"/>
          <w:sz w:val="24"/>
        </w:rPr>
        <w:t>: An initial, one-time stock option award (the “Initial Award”) with a Value (as defined below) equal to $450,000 will be granted to each new Outside Director upon his or her election to the Board of Directors, which shall vest in equal monthly installments over three years from the date of grant, provided, however, that all vesting shall cease if the director resigns from the Board of Directors or otherwise ceases to serve as a director, unless the Board of Directors determines that the circumstances warrant continuation of vesting. The Initial Award shall expire ten years from the date of grant and shall have a per share exercise price equal to the Fair Market Value (as defined in the Company’s 2021 Stock Option and Incentive Plan (as amended and/or restated from time to time, the “2021 Plan”)) of the Company’s common stock on the date of grant. This Initial Award applies only to Outside Directors who are first elected to the Board of Directors subsequent to the Effective Date.</w:t>
      </w:r>
    </w:p>
    <w:p>
      <w:pPr>
        <w:pStyle w:val="TextBody"/>
        <w:bidi w:val="0"/>
        <w:spacing w:lineRule="auto" w:line="288" w:before="0" w:after="240"/>
        <w:jc w:val="both"/>
        <w:rPr/>
      </w:pPr>
      <w:r>
        <w:rPr>
          <w:rFonts w:ascii="Times New Roman;serif" w:hAnsi="Times New Roman;serif"/>
          <w:b w:val="false"/>
          <w:color w:val="000000"/>
          <w:sz w:val="24"/>
          <w:u w:val="single"/>
        </w:rPr>
        <w:t>Annual Award</w:t>
      </w:r>
      <w:r>
        <w:rPr>
          <w:rFonts w:ascii="Times New Roman;serif" w:hAnsi="Times New Roman;serif"/>
          <w:b w:val="false"/>
          <w:color w:val="000000"/>
          <w:sz w:val="24"/>
        </w:rPr>
        <w:t>: On each date of each Annual Meeting of Stockholders of the Company following the Effective Date (the “Annual Meeting”), each continuing Outside Director, other than a director receiving an Initial Award, will be granted, automatically and without the need for any further action by the Board, an award with a Value equal to $225,000 (the “Annual Award”), with 75% of the Value of the Annual Award to be issued in the form of a stock option (the “Annual Stock Option Award”) and 25% of the Value of the Annual Award to be issued in the form of restricted stock units. The Annual Award shall vest in full upon the earlier of (i) the first anniversary of the date of grant or (ii) the date of the next Annual Meeting; provided, however, that all vesting shall cease if the director resigns from the Board of Directors or otherwise ceases to serve as a director, unless the Board of Directors determines that the circumstances warrant continuation of vesting; provided, further, that if an individual commenced service as an Outside Director within the twelve (12) months immediately preceding such Annual Meeting, then the Annual Award granted to such Outside Director will be prorated based on the number of whole months that the individual served as an Outside Director prior to the Annual Award’s grant date during the twelve (12) month period immediately preceding such Annual Meeting (with any resulting fractional share rounded down to the nearest whole share). The Annual Stock Option Award shall expire ten years from the date of grant and shall have a per share exercise price equal to the Fair Market Value (as defined in the 2021 Plan) of the Company’s common stock on the date of grant.</w:t>
      </w:r>
    </w:p>
    <w:p>
      <w:pPr>
        <w:pStyle w:val="TextBody"/>
        <w:bidi w:val="0"/>
        <w:spacing w:lineRule="auto" w:line="288" w:before="0" w:after="240"/>
        <w:jc w:val="both"/>
        <w:rPr/>
      </w:pPr>
      <w:r>
        <w:rPr>
          <w:rFonts w:ascii="Times New Roman;serif" w:hAnsi="Times New Roman;serif"/>
          <w:b w:val="false"/>
          <w:color w:val="000000"/>
          <w:sz w:val="24"/>
          <w:u w:val="single"/>
        </w:rPr>
        <w:t>Sale Event Acceleration</w:t>
      </w:r>
      <w:r>
        <w:rPr>
          <w:rFonts w:ascii="Times New Roman;serif" w:hAnsi="Times New Roman;serif"/>
          <w:b w:val="false"/>
          <w:color w:val="000000"/>
          <w:sz w:val="24"/>
        </w:rPr>
        <w:t>: All outstanding Initial Awards and Annual Awards held by an Outside Director shall become fully vested and exercisable upon a Sale Event (as defined in the 2021 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this Policy, “Value” means with respect to (i) any award of stock options, the grant date fair value of the option (i.e., Black-Scholes Value) determined in accordance with the reasonable assumptions and methodologies employed by the Company for calculating the fair value of options under ASC Topic 718; and (ii) any award of restricted stock and restricted stock units, the product of (A) the closing market price on the NASDAQ Global Select Market (or such other market on which the Company’s common stock is then principally listed) of a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share of the Company’s common stock on the effective date of grant and (B) the aggregate number of shares pursuant to such award.</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Expenses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will reimburse all reasonable out-of-pocket expenses incurred by non-employee directors in attending meetings of the Board of Directors or any committee thereof.</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Maximum Annual Compensation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aggregate amount of compensation, including both equity compensation and cash compensation, paid by the Company to any Outside Director for service as an Outside Director in a calendar year for services as an Outside Director period shall not exceed $1,000,000; provided, however, that such amount shall be $1,250,000 for the calendar year in which the applicable Outside Director is initially elected or appointed to the Board of Directors; (or such other limits as may be set forth in Section 3(b) of the 2021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Adopted July 16, 2021.</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Effective July 21, 2021.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Amendments Effective May 4,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Amendments Effective March 28, 2024</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Amendments Effective January 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Sean McClain,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Absci Corporation;</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62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953"/>
        <w:gridCol w:w="953"/>
        <w:gridCol w:w="134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Sean McClain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Sean McClain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Founder and Chief Executive Officer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Zachariah Jonasson,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Absci Corporation;</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93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749"/>
        <w:gridCol w:w="749"/>
        <w:gridCol w:w="10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Zachariah Jonasson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Zachariah Jonasson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Absci Corporation (the “Company”) on Form 10-Q for the period ending March 31,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562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953"/>
        <w:gridCol w:w="953"/>
        <w:gridCol w:w="134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Sean McClain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Sean McClain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Founder and Chief Executive Officer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Absci Corporation (the “Company”) on Form 10-Q for the period ending March 31,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493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749"/>
        <w:gridCol w:w="749"/>
        <w:gridCol w:w="10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Zachariah Jonasson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Zachariah Jonasson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utiger LT 55 Roman">
    <w:altName w:val="sans-serif"/>
    <w:charset w:val="01"/>
    <w:family w:val="auto"/>
    <w:pitch w:val="default"/>
  </w:font>
  <w:font w:name="Times New Roman">
    <w:altName w:val="serif"/>
    <w:charset w:val="01"/>
    <w:family w:val="auto"/>
    <w:pitch w:val="default"/>
  </w:font>
  <w:font w:name="Frutiger LT 45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72688/000119312525179074/d945863dex12.htm" TargetMode="External"/><Relationship Id="rId4" Type="http://schemas.openxmlformats.org/officeDocument/2006/relationships/hyperlink" Target="https://www.sec.gov/Archives/edgar/data/1672688/000162828021013661/exhibit21-sx1a1.htm" TargetMode="External"/><Relationship Id="rId5" Type="http://schemas.openxmlformats.org/officeDocument/2006/relationships/hyperlink" Target="https://www.sec.gov/Archives/edgar/data/1672688/000162828023022479/a31-23x06x14abscixamendeda.htm" TargetMode="External"/><Relationship Id="rId6" Type="http://schemas.openxmlformats.org/officeDocument/2006/relationships/hyperlink" Target="https://www.sec.gov/Archives/edgar/data/1672688/000162828022032103/exhibit31-8xkbylaws.htm" TargetMode="External"/><Relationship Id="rId7" Type="http://schemas.openxmlformats.org/officeDocument/2006/relationships/hyperlink" Target="https://www.sec.gov/Archives/edgar/data/1672688/000162828021014027/exhibit41s-1a3.htm" TargetMode="External"/><Relationship Id="rId8" Type="http://schemas.openxmlformats.org/officeDocument/2006/relationships/hyperlink" Target="https://www.sec.gov/Archives/edgar/data/1672688/000162828021013214/exhibit42-sx1.htm" TargetMode="External"/><Relationship Id="rId9" Type="http://schemas.openxmlformats.org/officeDocument/2006/relationships/hyperlink" Target="https://www.sec.gov/Archives/edgar/data/1672688/000162828025013464/exhibit44-202410xk.htm" TargetMode="External"/><Relationship Id="rId10" Type="http://schemas.openxmlformats.org/officeDocument/2006/relationships/hyperlink" Target="https://www.sec.gov/Archives/edgar/data/1672688/000162828025013464/exhibit44-202410xk.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55347</Words>
  <Characters>313650</Characters>
  <CharactersWithSpaces>367853</CharactersWithSpaces>
  <Paragraphs>1949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