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6291d424b5.htm"/>
        <w:bookmarkStart w:id="1" w:name="ksd7629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333-289541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22, 2025) </w:t>
      </w:r>
    </w:p>
    <w:p>
      <w:pPr>
        <w:pStyle w:val="TextBody"/>
        <w:bidi w:val="0"/>
        <w:spacing w:before="240" w:after="0"/>
        <w:jc w:val="center"/>
        <w:rPr>
          <w:rFonts w:ascii="Times New Roman" w:hAnsi="Times New Roman"/>
          <w:b/>
          <w:sz w:val="36"/>
        </w:rPr>
      </w:pPr>
      <w:r>
        <w:rPr>
          <w:rFonts w:ascii="Times New Roman" w:hAnsi="Times New Roman"/>
          <w:b/>
          <w:sz w:val="36"/>
        </w:rPr>
        <w:t xml:space="preserve">13,495,277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6590" cy="5791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6590" cy="5791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Absci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directly to investors 13,495,277 shares of our common stock, par value $0.0001, or the common stock, at a price per share of $7.41, of which 5,398,111 shares, for an aggregate offering price of $40 million, have been allocated for purchase by Eli Lilly and Company.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“ABSI.” On June 23, 2026, the last reported sale price of shares of our common stock on The Nasdaq Global Select Market was $7.41 per share. </w:t>
      </w:r>
    </w:p>
    <w:p>
      <w:pPr>
        <w:pStyle w:val="TextBody"/>
        <w:bidi w:val="0"/>
        <w:spacing w:before="240" w:after="0"/>
        <w:jc w:val="left"/>
        <w:rPr>
          <w:rFonts w:ascii="Times New Roman" w:hAnsi="Times New Roman"/>
          <w:sz w:val="20"/>
        </w:rPr>
      </w:pPr>
      <w:r>
        <w:rPr>
          <w:rFonts w:ascii="Times New Roman" w:hAnsi="Times New Roman"/>
          <w:sz w:val="20"/>
        </w:rPr>
        <w:t xml:space="preserve">We are a “smaller reporting company” as defined under the federal securities laws and, as such, we have elected to comply with certain reduced reporting requirements for this prospectus supplement and may elect to do so in future filings. </w:t>
      </w:r>
    </w:p>
    <w:p>
      <w:pPr>
        <w:pStyle w:val="TextBody"/>
        <w:bidi w:val="0"/>
        <w:spacing w:before="240" w:after="0"/>
        <w:jc w:val="left"/>
        <w:rPr/>
      </w:pPr>
      <w:r>
        <w:rPr>
          <w:rFonts w:ascii="Times New Roman" w:hAnsi="Times New Roman"/>
          <w:b/>
          <w:sz w:val="24"/>
        </w:rPr>
        <w:t>Investing in our securities involves a high degree of risk. See the section entitled “</w:t>
      </w:r>
      <w:hyperlink w:anchor="supptoc76291_5">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elsewhere in this prospectus supplement and the accompanying base prospectus for a discussion of information that should be considered in connection with an investment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3"/>
        <w:gridCol w:w="230"/>
        <w:gridCol w:w="60"/>
        <w:gridCol w:w="808"/>
        <w:gridCol w:w="60"/>
        <w:gridCol w:w="230"/>
        <w:gridCol w:w="60"/>
        <w:gridCol w:w="1891"/>
        <w:gridCol w:w="63"/>
      </w:tblGrid>
      <w:tr>
        <w:trPr/>
        <w:tc>
          <w:tcPr>
            <w:tcW w:w="435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5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$7.4100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$100,000,002.5700</w:t>
            </w:r>
          </w:p>
        </w:tc>
        <w:tc>
          <w:tcPr>
            <w:tcW w:w="63"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 and Commissions(1)</w:t>
            </w:r>
          </w:p>
        </w:tc>
        <w:tc>
          <w:tcPr>
            <w:tcW w:w="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$0.4446</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$6,000,000.1542</w:t>
            </w:r>
          </w:p>
        </w:tc>
        <w:tc>
          <w:tcPr>
            <w:tcW w:w="63"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$6.9654</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$94,000,002.4158</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beginning on page S-18 of this prospectus supplement for additional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shares to purchasers on or about June 25, 2026. </w:t>
      </w:r>
    </w:p>
    <w:p>
      <w:pPr>
        <w:pStyle w:val="TextBody"/>
        <w:bidi w:val="0"/>
        <w:spacing w:before="240" w:after="0"/>
        <w:jc w:val="center"/>
        <w:rPr>
          <w:rFonts w:ascii="Times New Roman" w:hAnsi="Times New Roman"/>
          <w:b/>
          <w:i/>
          <w:sz w:val="24"/>
        </w:rPr>
      </w:pPr>
      <w:r>
        <w:rPr>
          <w:rFonts w:ascii="Times New Roman" w:hAnsi="Times New Roman"/>
          <w:b/>
          <w:i/>
          <w:sz w:val="24"/>
        </w:rPr>
        <w:t xml:space="preserve">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8"/>
        <w:gridCol w:w="102"/>
        <w:gridCol w:w="2449"/>
        <w:gridCol w:w="102"/>
        <w:gridCol w:w="2246"/>
        <w:gridCol w:w="102"/>
        <w:gridCol w:w="3776"/>
      </w:tblGrid>
      <w:tr>
        <w:trPr/>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c>
          <w:tcPr>
            <w:tcW w:w="2348"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right"/>
              <w:rPr>
                <w:b/>
              </w:rPr>
            </w:pPr>
            <w:r>
              <w:rPr>
                <w:b/>
              </w:rPr>
              <w:t>J.P. Morgan</w:t>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right"/>
              <w:rPr>
                <w:b/>
              </w:rPr>
            </w:pPr>
            <w:r>
              <w:rPr>
                <w:b/>
              </w:rPr>
              <w:t>TD Cowen</w:t>
            </w:r>
          </w:p>
        </w:tc>
        <w:tc>
          <w:tcPr>
            <w:tcW w:w="102"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right"/>
              <w:rPr>
                <w:b/>
              </w:rPr>
            </w:pPr>
            <w:r>
              <w:rPr>
                <w:b/>
              </w:rPr>
              <w:t>Guggenheim Securities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June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oc7629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2">
              <w:r>
                <w:rPr>
                  <w:rStyle w:val="InternetLink"/>
                  <w:rFonts w:ascii="Times New Roman" w:hAnsi="Times New Roman"/>
                  <w:sz w:val="20"/>
                </w:rPr>
                <w:t>MARKET, INDUSTRY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6">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9">
              <w:r>
                <w:rPr>
                  <w:rStyle w:val="InternetLink"/>
                  <w:rFonts w:ascii="Times New Roman" w:hAnsi="Times New Roman"/>
                  <w:sz w:val="20"/>
                </w:rPr>
                <w:t>MATERIAL U.S. FEDERAL INCOME TAX CONSEQUENCES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10">
              <w:r>
                <w:rPr>
                  <w:rStyle w:val="InternetLink"/>
                  <w:rFonts w:ascii="Times New Roman" w:hAnsi="Times New Roman"/>
                  <w:sz w:val="20"/>
                </w:rPr>
                <w:t>UNDERWRITERS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76291_1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7629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3">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5">
              <w:r>
                <w:rPr>
                  <w:rStyle w:val="InternetLink"/>
                  <w:rFonts w:ascii="Times New Roman" w:hAnsi="Times New Roman"/>
                  <w:sz w:val="20"/>
                </w:rPr>
                <w:t>ABOUT 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9">
              <w:r>
                <w:rPr>
                  <w:rStyle w:val="InternetLink"/>
                  <w:rFonts w:ascii="Times New Roman" w:hAnsi="Times New Roman"/>
                  <w:sz w:val="20"/>
                </w:rPr>
                <w:t>GENERAL DESCRIPTION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0">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1">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2">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3">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6291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or to make any representations other than those contained or incorporated by reference in this prospectus supplement or the accompanying base prospectus. Neither we nor the underwriters takes any responsibility for, or provides any assurance as to the reliability of, any other information that others may give you. You should assume that the information appearing or incorporated by reference in this prospectus supplement, the accompanying prospectus or any free writing prospectus prepared by us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Neither we nor the underwriters are making an offer of these securities in any state or jurisdiction where the offer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7629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on Form S-3 (Registration No. 333-289541) that we filed with the Securities and Exchange Commission, or the SEC, using a “shelf” registration process. The accompanying base prospectus provides you with a general description of Absci Corporation and the securities that may be offered. Each time we sell securities under the registration statement through an underwriter, dealer or agent, a prospectus supplement will be provided that contains specific information about the terms of that offering. A prospectus supplement may also add, update or change information contained in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provides specific details regarding this offering of shares of common stock, including the purchase price per share. To the extent there is a conflict between the information contained in this prospectus supplement and the accompanying base prospectus, you should rely on the information in this prospectus supplement. This prospectus supplement, the accompanying base prospectus, and the documents incorporated by reference herein and therein include important information about us and our common stock and other information you should know before investing. You should read both this prospectus supplement and the accompanying base prospectus, together with the additional information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appearing in this prospectus supplement or the accompanying base prospectus is accurate as of any date other than the date on the front cover of the respective documents. You should not assume that the information contained in the documents incorporated by reference in this prospectus supplement or the accompanying base prospectus is accurate as of any date other than the respective dates of those documents. Our business, financial condition, results of operations, and prospects may have changed since the dates set forth in the respective documents.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the accompanying prospectus or any free writing prospectus and the offering of the securities in certain jurisdictions may be restricted by law. Persons outside the United States who come into possession of this prospectus supplement and the accompanying prospectus or any free writing prospectus must inform themselves about, and observe any restrictions relating to, the offering of the securities and the distribution of this prospectus supplement and the accompanying prospectus or any free writing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“Absci,” the “Company,” “we,” “us” and “our” refer, collectively, to Absci Corporation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tradenames in our business. Absci’s stylized A logo, Absci®, SoluPro®, Bionic SoluPro®, Unlimit with us® (design), and SoluPure® are our registered trademarks with the U.S. Patent and Trademark Office. All other trademarks or trade names referred to in this prospectus supplement or the accompanying base prospectus are the property of their respective owners. Solely for convenience, the trademarks and trade names in this prospectus supplement or the accompanying base prospectus are referred to without the symbols ® and ,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76291_2"/>
      <w:bookmarkEnd w:id="4"/>
      <w:r>
        <w:rPr>
          <w:rFonts w:ascii="Times New Roman" w:hAnsi="Times New Roman"/>
          <w:b/>
          <w:sz w:val="20"/>
        </w:rPr>
        <w:t xml:space="preserve">MARKET, INDUSTRY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We obtained the industry, market and competitive position data included or incorporated by reference in this prospectus supplement, the accompanying base prospectus and the documents incorporated herein and therein by reference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or incorporated by reference in this prospectus supplement is reliable and based on reasonable assumptions, such data involve risks and uncertainties and are subject to change based on various factors, including those discussed in “Risk Factors.” These and other factors could cause results to differ materially from those expressed in the estimates made by the third parties or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76291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or the accompanying base prospectus and does not contain all of the information you should consider in making your investment decision. Before deciding to purchase any of our shares of common stock in this offering, you should read this summary together with the more detailed information included elsewhere, or incorporated by reference, in this prospectus supplement or the accompanying base prospectus. You should carefully consider, among other things, (i) the matters discussed in “Risk Factors” and “Cautionary Statement Regarding Forward-Looking Statements,” in each case, included elsewhere, or incorporated by reference, in this prospectus supplement or the accompanying base prospectus, and (ii) our consolidated financial statements and related notes and the matters discussed in “Risk Factors” and “Management’s Discussion and Analysis of Financial Condition and Results of Operations,” in each case, included in our most recent Annual Report on Form 10-K for the year ended December 31, 2025, as updated by our subsequent quarterly and other reports and documents that are incorporated by reference into this prospectus supplement and the accompanying base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and development of differentiated antibody therapeutics using an AI-native drug creation approach. Our integrated drug creation platform combines Origin-1, our generative design model, with rapid validation using our lab-in-the-loop. We focus on underexplored mechanisms where unmet medical need is high and competition is low.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advanced our first two programs from initial AI-driven design into clinical-stage development in approximately two years with a total investment of approximately $15 million per program, compared to an industry average of four to six years at a cost of greater than $50 million. This combination of underexplored target selection and capital-efficient execution is central to our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ABS-201, is an anti-prolactin receptor, or PRLR, antibody engineered with an extended half-life designed to support a patient-friendly dosing interval. We believe PRLR is an underexplored target with the potential to provide durable, disease-modifying effects. If successfully developed, ABS-201 could establish a new treatment category in indications where current options remain inadequate. ABS-201 is being developed for two indications, androgenetic alopecia, or AGA or pattern hair loss, or PHL, and endometriosis, each with large affected populations and significant unmet need.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Model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model is designed to drive value through our AI-native approach to therapeutic discovery and development. We leverage our Integrated Drug Creation platform to (1) build and advance an internal pipeline of differentiated therapeutic programs that we advance through clinical development and commercialization, and (2) generate internally developed programs that are subsequently partnered or out-licensed following certain value inflection points (anywhere from preclinical through early phases of clinical).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Internally Developed Programs:</w:t>
      </w:r>
      <w:r>
        <w:rPr>
          <w:rFonts w:ascii="Times New Roman" w:hAnsi="Times New Roman"/>
          <w:sz w:val="20"/>
          <w:bdr w:val="single" w:sz="8" w:space="1" w:color="000000"/>
        </w:rPr>
        <w:t xml:space="preserve"> Our pipeline includes internally developed programs designed to address areas of significant unmet medical need, including programs that we believe may have the potential to represent first-in-class or disease-modifying approaches. These programs have been generated using our platform capabilities, including </w:t>
      </w:r>
      <w:r>
        <w:rPr>
          <w:rFonts w:ascii="Times New Roman" w:hAnsi="Times New Roman"/>
          <w:i/>
          <w:sz w:val="20"/>
          <w:bdr w:val="single" w:sz="8" w:space="1" w:color="000000"/>
        </w:rPr>
        <w:t>de novo</w:t>
      </w:r>
      <w:r>
        <w:rPr>
          <w:rFonts w:ascii="Times New Roman" w:hAnsi="Times New Roman"/>
          <w:sz w:val="20"/>
          <w:bdr w:val="single" w:sz="8" w:space="1" w:color="000000"/>
        </w:rPr>
        <w:t xml:space="preserve"> antibody design, multi-parameter candidate optimization and reverse immunology approaches. We intend to advance a limited number of internally developed programs, such as ABS-201, through clinical development and potential commercialization. For other internally generated programs, we may seek to enter into collaboration, partnership or out-licensing arrangements at various stages of development, which may include preclinical stages or early phases of clinical development, to support the advancement of selected programs and continued development of our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Partnered Programs: </w:t>
      </w:r>
      <w:r>
        <w:rPr>
          <w:rFonts w:ascii="Times New Roman" w:hAnsi="Times New Roman"/>
          <w:sz w:val="20"/>
          <w:bdr w:val="single" w:sz="8" w:space="1" w:color="000000"/>
        </w:rPr>
        <w:t xml:space="preserve">We may enter into drug creation collaborations for drug creation programs and co-development partnerships with third parties. Our drug creation collaboration programs may include up-front fees and research fees, as well as potential clinical and/or commercial milestones and royalties. Through our co-development partnerships, we collaborate to develop drug creation programs to certain value inflection points before considering partnering or out-licensing opportunities and may include mutual cost-sharing and/or technology contributions.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formed as AbSci, LLC in August 2011 as a limited liability company under the Oregon Limited Liability Act and subsequently converted into a Delaware limited liability company under the laws of the State of Delaware in April 2016. In October 2020, we completed a reorganization whereby we converted from a Delaware limited liability company to a Delaware corporation under the name Absci Corporation. We have five direct wholly-owned subsidiaries, Absci Pty Ltd., Absci GmbH, AbSci, LLC, De Novo Design, LLC and Target Discovery Merger Sub II, LLC, and one indirect wholly-owned subsidiary, Absci d.o.o. Beograd.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18105 SE Mill Plain Blvd, Vancouver, WA 98683, and our telephone number is (360) 949-1041. Our website address is </w:t>
      </w:r>
      <w:r>
        <w:rPr>
          <w:rFonts w:ascii="Times New Roman" w:hAnsi="Times New Roman"/>
          <w:i/>
          <w:sz w:val="20"/>
          <w:bdr w:val="single" w:sz="8" w:space="1" w:color="000000"/>
        </w:rPr>
        <w:t>www.absci.com</w:t>
      </w:r>
      <w:r>
        <w:rPr>
          <w:rFonts w:ascii="Times New Roman" w:hAnsi="Times New Roman"/>
          <w:sz w:val="20"/>
          <w:bdr w:val="single" w:sz="8" w:space="1" w:color="000000"/>
        </w:rPr>
        <w:t xml:space="preserve">. We do not incorporate the information on, or accessible through, our website into this prospectus supplement, and you should not consider any information on, or accessible through, our website as part of this prospectus supplement. You should not rely on any such information in making your decision whether to purchase our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Annual Report on Form 10-K, Quarterly Reports on Form 10-Q and Current Reports on Form 8-K and amendments to those reports filed or furnished pursuant to Section 13(a) or 15(d) of the Securities Exchange Act of 1934, as amended, or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sz w:val="20"/>
          <w:bdr w:val="single" w:sz="8" w:space="1" w:color="000000"/>
        </w:rPr>
        <w:t>www.sec.gov</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our Company, please refer to other documents we have filed with the SEC and that are incorporated by reference into this prospectus supplement and the accompanying base prospectus, as listed under the heading “Incorporation of Certain Information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by the Securities Exchange Act of 1934, as amended, and the rules and regulations thereunder.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 smaller reporting company so long as, as of June 30 of the preceding year: (i) the market value of our shares of common stock held by non-affiliates, or our public float, is less than $250 million; or (ii) we have annual revenues less than $100 million and either we have no public float or our public float is less than $700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oc76291_4"/>
      <w:bookmarkEnd w:id="6"/>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13,495,277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8" w:type="dxa"/>
            <w:tcBorders/>
          </w:tcPr>
          <w:p>
            <w:pPr>
              <w:pStyle w:val="TableContents"/>
              <w:bidi w:val="0"/>
              <w:spacing w:before="0" w:after="283"/>
              <w:jc w:val="left"/>
              <w:rPr/>
            </w:pPr>
            <w:r>
              <w:rPr/>
              <w:t xml:space="preserve">168,845,412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to us in this offering will be approximately $93.5 million,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the net proceeds from this offering to fund the advancement of ABS-201, Absci’s AI-designed anti-PRLR antibody product candidate, across androgenetic alopecia (pattern hair loss) and endometriosis, and for working capital and other general corporate purposes. We may also use a portion of the net proceeds to invest in or acquire businesses or technologies that we believe are complementary to our own, although we have no current plans, commitments, or agreements with respect to any such material investments or acquisitions as of the date of this prospectus supplement. These intentions are subject to change. 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 entitled “Risk Factors” beginning on page S-7 for a discussion of factors you should consider carefully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for our Common Stock </w:t>
            </w:r>
          </w:p>
        </w:tc>
        <w:tc>
          <w:tcPr>
            <w:tcW w:w="6327" w:type="dxa"/>
            <w:tcBorders/>
          </w:tcPr>
          <w:p>
            <w:pPr>
              <w:pStyle w:val="TableContents"/>
              <w:bidi w:val="0"/>
              <w:spacing w:before="0" w:after="283"/>
              <w:jc w:val="left"/>
              <w:rPr/>
            </w:pPr>
            <w:r>
              <w:rPr/>
              <w:t>“</w:t>
            </w:r>
            <w:r>
              <w:rPr/>
              <w:t xml:space="preserve">ABSI”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the number of shares of our common stock outstanding before and after this offering is based on 155,350,135 shares of common stock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25,401,044 shares of our common stock issuable upon the exercise of outstanding stock options with a weighted-average exercise price of approximately $3.19 per share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868,700 shares of our common stock issuable upon the exercise of stock options granted subsequent to March 31, 2026 through June 22, 2026 with a weighted-average exercise price of approximately $5.66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5,014,550 shares of our common stock issuable upon the vesting and settlement of outstanding restricted stock unit awards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111,150 shares of our common stock issuable upon the vesting and settlement of outstanding restricted stock unit awards granted subsequent to March 31, 2026 through June 22,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7,681,193 shares of our common stock reserved for future issuance under our 2021 Stock Option and Incentive Plan, or 2021 Plan, as of March 31, 2026, as well as 1,720,550 shares of our common stock underlying stock awards granted under the 2021 Plan and our 2020 Stock Option and Grant Plan, or 2020 Plan, that expired or were repurchased, forfeited, cancelled or withheld subsequent to March 31, 2026 through the date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4,511,265 shares of our common stock reserved for future issuance under our 2021 Employee Stock Purchase Plan, or 2021 ESPP,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1,074,200 shares of common stock reserved for future issuance under our 2023 Inducement Plan, or Inducement Plan, as of March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791,028 shares of common stock issued pursuant to the Sales Agreement, dated August 12, 2025, by and between the Company and TD Securities (USA) LLC, or the Sales Agreement, subsequent to March 31, 2026 through June 22,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7629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common stock involves significant risks. Prior to making a decision about investing in our common stock, and in consultation with your own financial and legal advisors, you should carefully consider, among other matters, the following risk factors, the risks described under the heading “Risk Factors” contained in our Annual Report on Form 10-K for the year ended December 31, 2025, and our Quarterly Report on Form 10-Q for the quarter ended March 31, 2026, as well as any amendments thereto, which are incorporated by reference into this prospectus supplement in their entirety, together with other information in this prospectus supplement, the accompanying base prospectus and the documents incorporated by reference herein and therein, and any free writing prospectus that we may file with the SEC. Any of these risks could have a material adverse effect on our business, operating results and financial condition, which could cause you to lose all or part of your investment. Additional risks and uncertainties not currently known to us or that we currently deem immaterial also may affect our business and operations. As such, you should not consider this list to be a complete statement of all potential risks or uncertainties.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in, concurrently with or following this offering could cause the market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in, concurrently with or following this offering or the perception that these sales might occur could depress the market price of our common stock and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The sale or the availability for sale of a large number of shares of our common stock in the public market could cause the price of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our employees, executive officers, and directors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additional shares outside of a Rule 10b5-1 trading plan when they are not in possession of material, nonpublic information, subject to the limitations of the lock-up agreements, if applicable, described in the section titled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lock-up agreements include an exception for shares sold by our executive officers and directors to cover tax obligations upon the exercise of stock options or the vesting of restricted stock units. Such sales of shares into the market, including during the lock-up period, could adversely affect the market price of shares of our common stock. See the section titled “Underwriters” in this prospectus supplement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common stock in this offering will pay a price per share that substantially exceeds the as adjusted net tangible book value per share. As a result, investors purchasing common stock in this offering will incur immediate dilution of $6.08 per share, representing the difference between the offering price of $7.41 and our as adjusted net tangible book value as of March 31, 2026. To the extent outstanding options to purchase shares of our common stock are exercised, new investors may incur further dilution. For more information on the dilution you may suffer as a result of investing in this offering, see the section of this prospectus supplement titled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broad discretion in the use of our existing cash, cash equivalents and marketable securities and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our existing cash, cash equivalents and marketable securities and the net proceeds from this offering, including for any of the purposes described in the section titled “Use of Proceeds,” and you will not have the opportunity as part of your investment decision to assess whether such proceeds are being used appropriately. Because of the number and variability of factors that will determine our use of our existing cash, cash equivalents and marketable securities and the net proceeds from this offering, their ultimate use may vary substantially from their currently intended use. Our management might not apply our existing cash and cash equivalents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76291_6"/>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including the documents incorporated by reference herein and therein, contains forward- looking statements within the meaning of Section 27A of the Securities Act of 1933, as amended (the “Securities Act”) and Section 21E of the Exchange Act. All statements contained or incorporated by reference in this prospectus supplement or the accompanying base prospectus, other than statements of historical fact, including, without limitation, statements regarding our strategy, future operations, future operating expenses, future financial position, future revenue, projected costs, prospects, plans, intentions, expectations, goals and objectives and our anticipated use of proceeds from this offering are forward-looking statements. The words “anticipates,” “approximately,” “believes,” “could,” “designed,” “estimates,” “expects,” “goal,” “intends,” “may,” “objective,” “plans,” “potential,” “predicts,” “projects,” “pursuing,” “seeks,” “should,” “will,” “would” and similar expressions (including the negatives thereof) are intended to identify forward-looking statements, although not all forward-looking statements contain these identifying words. The forward-looking statements contained or incorporated by reference in this prospectus supplement or the accompanying base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expectations regarding the initiation, timing, progress, results, and costs of our internal discovery, research and development programs, including current and future preclinical studies and clinical trials, and the period during which the results of such studies and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timing to advance our product candidates in, and to successfully initiate, conduct, enroll and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therapeutic potential of our product candidates, and the disease indications for which we intend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likelihood of, and our ability to obtain and maintain, regulatory clearances of our IND applications to initiate clinical trials and regulatory approval to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further development of, successful application of, and the rate and degree of market acceptance of, our Integrated Drug Creation platform, including progress towards fully in silico biologic drug discovery;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leverage our Integrated Drug Creation platform to shorten preclinical development timelines for biologics;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markets for our product candidates, if approved, as well as those product candidates developed by our partners using our services and technologies, including the growth rate of the biologics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new partners and enter into drug creation agreements that contain milestone and royalty obligations in favor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 perception of the use of AI and product candidates developed using AI may negatively impact demand for, or regulatory approval of, our product candidates and adversely affect investor and marketplace perception of our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to receive revenue from the achievement of milestones and from royalties on net sales under agreements with our partners with respect to products originating from our Integrated Drug Creation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commercial license agreements for our partnered programs with those partners who do not currently have milestone payment and royalty obligations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and grow our business by expanding our relationships with existing partners or introducing our Integrated Drug Creation platform to new partners and developing product candidates for internally developed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current and future partners’ continued development of, and ability to commercialize, biologic drugs generated utilizing our proprietary Integrated Drug Creation platform;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strategy, including our strategy to advance internally developed programs through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revenue, capital requirements and our need for or ability to obtain additional funding before we can expect to generate additional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sufficiency of our cash, cash equivalents and marketable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calculations and estimates related to the valuation of our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maintain or expand collaborations, partnerships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our partners with a full drug discovery solution and the use of artificial intelligence (AI) across our Integrated Drug Creation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platform, products and other technologies, the duration of such protection and our ability to operate our business without infringing on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hire and retain key personnel and to manage our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use of our cash, cash equivalents and marketable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that of companies in our industry and the financial markets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Jumpstart Our Business Startups Act of 2012 (JOBS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economic conditions, including market volatility, acts of war and civil and political unrest, and our expectations about market trends and effects from inflation and fluctuations in interest 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net proceeds from this offering and how long the net proceeds, plus existing cash and cash equivalents and restricted cash and marketable securities, will fund our operations based on our current operating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expectations or objectives disclosed in our forward- looking statements and the assumptions underlying our forward-looking statements may prove incorrect. Furthermore, if our forward-looking statements prove to be inaccurate, the inaccuracy may be material. Therefore, you should not place undue reliance on our forward-looking statements, and you should not regard these statements as a representation or warranty by us or any other person that we will achieve our objectives and plans in any specified time frame, or at all. Actual results or events could differ materially from the plans, intentions, expectations and objectives disclosed in the forward-looking statements that we make. Important factors that we believe could cause actual results or events to differ materially from our forward-looking statements include, but are not limited to, the risks more fully discussed in the “Risk Factors” section in this prospectus supplement and the accompanying base prospectus, and the risk factors and cautionary statements described in other documents that we file from time to time with the SEC, specifically, those listed under “Item 1A. Risk Factors” and elsewhere in our most recent Annual Report on Form 10-K for the year ended December 31, 2025 and our Quarterly Report on Form 10-Q for the quarter ended March 31, 2026, as updated by our subsequent annual, quarterly and other reports and documents that are incorporated by reference herein. Our forward-looking statements contained or incorporated by reference in this prospectus supplement or the accompanying base prospectus are based on current expectations as of the date hereof and we do not assume any obligation to update any forward-looking statements on account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7629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in this offering will be approximately $93.5 million,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 fund the advancement of ABS-201, Absci’s AI-designed anti-PRLR antibody product candidate, across androgenetic alopecia (pattern hair loss) and endometriosis, and for working capital and other general corporate purposes. We may also use a portion of the net proceeds to invest in or acquire businesses or technologies that we believe are complementary to our own, although we have no current plans, commitments or agreements with respect to any such material investments or acquisitions as of the date of this prospectus supplement. These intentions are subject to change. Accordingly, we will have broad discretion over the uses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our use of the proceeds as described above, we intend to invest the proceeds in short term, interest bearing, investment grade securities in a manner that permits us to maintain our exemption from registration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76291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the common stock in this offering, your interest will be diluted to the extent of the difference between the purchase price per share of common stock and as adjusted net tangible book value per share of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March 31, 2026 was $131.2 million, or $0.84 per outstanding share of common stock as of that date. Net tangible book value represents our total tangible assets less our total liabilities. As adjusted net tangible book value per share of common stock is calculated after giving effect to the issuance of common stock by us in this offering. Dilution is determined by subtracting as adjusted net tangible book value per share of common stock from the amount per share paid by purchasers of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Without taking into account any other changes in net tangible book value after March 31, 2026, other than to give effect to the issuance and sale by us of 13,495,277 shares of common stock in this offering at a price per share of $7.41, after deducting estimated offering expenses payable by us, our as adjusted net tangible book value as of March 31, 2026 would have been $224.7 million, or $1.33 per outstanding share of common stock. This represents an immediate increase in net tangible book value of $0.49 per share of common stock to the existing stockholders and an immediate dilution in net tangible book value of $6.08 per share of common stock to new investors purchasing shares of common stock in this offering. The following table illustrates this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78"/>
        <w:gridCol w:w="385"/>
        <w:gridCol w:w="144"/>
        <w:gridCol w:w="447"/>
        <w:gridCol w:w="60"/>
        <w:gridCol w:w="385"/>
        <w:gridCol w:w="144"/>
        <w:gridCol w:w="447"/>
        <w:gridCol w:w="65"/>
      </w:tblGrid>
      <w:tr>
        <w:trPr/>
        <w:tc>
          <w:tcPr>
            <w:tcW w:w="5678"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7.41</w:t>
            </w:r>
          </w:p>
        </w:tc>
        <w:tc>
          <w:tcPr>
            <w:tcW w:w="65" w:type="dxa"/>
            <w:tcBorders/>
            <w:shd w:fill="CCEEFF" w:val="clear"/>
            <w:vAlign w:val="bottom"/>
          </w:tcPr>
          <w:p>
            <w:pPr>
              <w:pStyle w:val="TableContents"/>
              <w:bidi w:val="0"/>
              <w:spacing w:before="0" w:after="283"/>
              <w:jc w:val="left"/>
              <w:rPr/>
            </w:pPr>
            <w:r>
              <w:rPr/>
              <w:t> </w:t>
            </w:r>
          </w:p>
        </w:tc>
      </w:tr>
      <w:tr>
        <w:trPr/>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0.84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0.49</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7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1.33</w:t>
            </w:r>
          </w:p>
        </w:tc>
        <w:tc>
          <w:tcPr>
            <w:tcW w:w="65" w:type="dxa"/>
            <w:tcBorders/>
            <w:vAlign w:val="bottom"/>
          </w:tcPr>
          <w:p>
            <w:pPr>
              <w:pStyle w:val="TableContents"/>
              <w:bidi w:val="0"/>
              <w:spacing w:before="0" w:after="283"/>
              <w:jc w:val="left"/>
              <w:rPr/>
            </w:pPr>
            <w:r>
              <w:rPr/>
              <w:t> </w:t>
            </w:r>
          </w:p>
        </w:tc>
      </w:tr>
      <w:tr>
        <w:trPr/>
        <w:tc>
          <w:tcPr>
            <w:tcW w:w="567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6.08</w:t>
            </w:r>
          </w:p>
        </w:tc>
        <w:tc>
          <w:tcPr>
            <w:tcW w:w="65" w:type="dxa"/>
            <w:tcBorders/>
            <w:shd w:fill="CCEEFF" w:val="clear"/>
            <w:vAlign w:val="bottom"/>
          </w:tcPr>
          <w:p>
            <w:pPr>
              <w:pStyle w:val="TableContents"/>
              <w:bidi w:val="0"/>
              <w:spacing w:before="0" w:after="283"/>
              <w:jc w:val="left"/>
              <w:rPr/>
            </w:pPr>
            <w:r>
              <w:rPr/>
              <w:t> </w:t>
            </w:r>
          </w:p>
        </w:tc>
      </w:tr>
      <w:tr>
        <w:trPr/>
        <w:tc>
          <w:tcPr>
            <w:tcW w:w="567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44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tables are based on 155,350,135 shares of common stock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25,401,044 shares of our common stock issuable upon the exercise of outstanding stock options with a weighted-average exercise price of approximately $3.19 per share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868,700 shares of our common stock issuable upon the exercise of stock options granted subsequent to March 31, 2026 through June 22, 2026 with a weighted-average exercise price of approximately $5.66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5,014,550 shares of our common stock issuable upon the vesting and settlement of outstanding restricted stock unit awards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111,150 shares of our common stock issuable upon the vesting and settlement of outstanding restricted stock units granted subsequent to March 31, 2026 through June 22,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7,681,193 shares of our common stock reserved for future issuance under our 2021 Plan as of March 31, 2026, as well as 1,720,550 shares of our common stock underlying stock awards granted under the 2021 Plan and our 2020 Plan, that expired or were repurchased, forfeited, cancelled or withheld subsequent to March 31, 2026 through the date of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4,511,265 shares of our common stock reserved for future issuance under our 2021 ESPP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1,074,200 shares of common stock reserved for future issuance under our Inducement Plan as of March 31, 2026;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791,028 shares of common stock issued pursuant to the Sales Agreement subsequent to March 31, 2026 through June 22,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are exercised or restricted stock units vest,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76291_9"/>
      <w:bookmarkEnd w:id="11"/>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applicable to U.S. persons. A Non-U.S. Holder that is a corporation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Foreign Account Tax Compliance Act, or FATCA, 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U.S. real property interest, or USRPI, by reason of our status as a U.S. real property holding corporation, or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applicable to U.S. persons. A Non-U.S. Holder that is a corporation for U.S. federal income tax purposes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76291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dated June 24, 2026 among us and Jefferies LLC, J.P. Morgan Securities LLC, TD Securities (USA) LLC and Guggenheim Securities, LLC as the representatives of the underwriters named below and the book-running managers of this offering, we have agreed to sell to the underwriters, and each of the underwriters has agreed, severally and not jointly, to purchase from us, the respective number of shares of common stock shown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9"/>
        <w:gridCol w:w="285"/>
        <w:gridCol w:w="60"/>
        <w:gridCol w:w="1113"/>
        <w:gridCol w:w="62"/>
      </w:tblGrid>
      <w:tr>
        <w:trPr/>
        <w:tc>
          <w:tcPr>
            <w:tcW w:w="541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85"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4,453,441</w:t>
            </w:r>
          </w:p>
        </w:tc>
        <w:tc>
          <w:tcPr>
            <w:tcW w:w="62"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4,453,441</w:t>
            </w:r>
          </w:p>
        </w:tc>
        <w:tc>
          <w:tcPr>
            <w:tcW w:w="62"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2,564,103</w:t>
            </w:r>
          </w:p>
        </w:tc>
        <w:tc>
          <w:tcPr>
            <w:tcW w:w="62"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2,024,292</w:t>
            </w:r>
          </w:p>
        </w:tc>
        <w:tc>
          <w:tcPr>
            <w:tcW w:w="62" w:type="dxa"/>
            <w:tcBorders/>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13,495,277</w:t>
            </w:r>
          </w:p>
        </w:tc>
        <w:tc>
          <w:tcPr>
            <w:tcW w:w="62" w:type="dxa"/>
            <w:tcBorders/>
            <w:shd w:fill="CCEEFF" w:val="clear"/>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and the underwriters have agreed to indemnify each other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subject to their acceptance of the shares of common stock from us and subject to prior sale. The underwriters reserve the right to withdraw, cancel or modify offers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to offer the shares of common stock at the initial offering price set forth on the cover page of this prospectus and to certain dealers, which may include the underwriters, at that price less a concession not in excess of $0.2668 per share of common stock. After the offering, the initial offering price, concession and reallowance to dealers may be reduced by the representatives. No such reduction will change the amount of proceeds to be received by us as set forth on the cover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offering price, the underwriting discounts and commissions that we are to pay the underwriters and the proceeds, before expenses, to us in connection with this offering.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4"/>
        <w:gridCol w:w="317"/>
        <w:gridCol w:w="178"/>
        <w:gridCol w:w="1012"/>
        <w:gridCol w:w="60"/>
        <w:gridCol w:w="317"/>
        <w:gridCol w:w="150"/>
        <w:gridCol w:w="2051"/>
        <w:gridCol w:w="66"/>
      </w:tblGrid>
      <w:tr>
        <w:trPr/>
        <w:tc>
          <w:tcPr>
            <w:tcW w:w="360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0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1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7.4100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2051" w:type="dxa"/>
            <w:tcBorders/>
            <w:shd w:fill="CCEEFF" w:val="clear"/>
            <w:vAlign w:val="bottom"/>
          </w:tcPr>
          <w:p>
            <w:pPr>
              <w:pStyle w:val="TableContents"/>
              <w:bidi w:val="0"/>
              <w:spacing w:before="0" w:after="283"/>
              <w:jc w:val="right"/>
              <w:rPr/>
            </w:pPr>
            <w:r>
              <w:rPr/>
              <w:t>100,000,002.5700</w:t>
            </w:r>
          </w:p>
        </w:tc>
        <w:tc>
          <w:tcPr>
            <w:tcW w:w="66"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31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0.4446</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2051" w:type="dxa"/>
            <w:tcBorders/>
            <w:vAlign w:val="bottom"/>
          </w:tcPr>
          <w:p>
            <w:pPr>
              <w:pStyle w:val="TableContents"/>
              <w:bidi w:val="0"/>
              <w:spacing w:before="0" w:after="283"/>
              <w:jc w:val="right"/>
              <w:rPr/>
            </w:pPr>
            <w:r>
              <w:rPr/>
              <w:t>6,000,000.1542</w:t>
            </w:r>
          </w:p>
        </w:tc>
        <w:tc>
          <w:tcPr>
            <w:tcW w:w="66"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1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6.9654</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2051" w:type="dxa"/>
            <w:tcBorders/>
            <w:shd w:fill="CCEEFF" w:val="clear"/>
            <w:vAlign w:val="bottom"/>
          </w:tcPr>
          <w:p>
            <w:pPr>
              <w:pStyle w:val="TableContents"/>
              <w:bidi w:val="0"/>
              <w:spacing w:before="0" w:after="283"/>
              <w:jc w:val="right"/>
              <w:rPr/>
            </w:pPr>
            <w:r>
              <w:rPr/>
              <w:t>94,000,002.4158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$515,000. We have also agreed to reimburse the underwriters for certain of their expenses in an amount up to $25,000.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“ABSI.”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officers and directors have agreed, subject to specified exceptions, not to directly or indirectly, or cause any direct or indirect affiliate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the securityholder in accordance with the rules and regulations of the Securities and Exchange Commission and securities which may be issued upon exercise of a stock option or warrant), collectively referred to as the,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hedging, swap or other agreement or transaction that transfers, in whole or in part, any of the economic consequences of ownership of the Lock-Up Securities, whether any such transaction described above is to be settled by delivery of Lock-Up Securities, in cash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Lock-Up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The securityholder further confirms that it has furnished the representatives with the details of any transaction that the securityholder, or any of its affiliates, is a party to as of the date of this prospectus, which transaction would have been restricted by the lock-up agreement if it had been entered into by the securityholder during the 60-day period.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terminates after the close of business on the 60th day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securityholder may, subject to certain conditions, transfer or dispose of Lock-Up Securities: (i) as bona fide gifts, or for bona fide estate planning purposes; (ii) by will, other testamentary document or intestacy; (iii) to any trust or other entity for the direct or indirect benefit of the securityholder or any immediate family member, or if the securityholder is a trust, to a trustor or beneficiary of the trust or to the estate of a beneficiary of such trust, (iv) to a corporation, partnership, limited liability company, trust or other entity of which the securityholder and its immediate family members are the legal and beneficial owner of all of the outstanding equity securities or similar interests or are under common control with the securityholder, (v) to a nominee or custodian of a person or entity to whom a disposition or transfer would be permissible under clauses (i) through (iv), and in each such case, subject to the same conditions, (vi) in the case of a corporation, partnership, limited liability company, trust or other business entity, (A) to another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limited liability company, trust or other business entity that is an affiliate of the securityholder, or to any investment fund or other entity controlling, controlled by, managing or managed by or under common control with the securityholder or its affiliates (including, for the avoidance of doubt, where the securityholder is a partnership, to its general partner or a successor partnership or fund, or any other funds managed by such partnership) or (B) as part of a distribution to members, partners or equity holders of the securityholder, (vii) by operation of law, (viii) to us from an employee, independent contractor or other service provider upon death, disability or termination of employment or cessation of services, in each case, of such employee, independent contractor or service provider, (ix) as part of a sale of lock-up securities acquired from the underwriters in this offering or in open market transactions after the date of this prospectus, (x) to us in connection with the vesting, settlement or exercise of restricted stock units, options, warrants or other rights to purchase shares of our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our common stock received upon such exercise, vesting or settlement shall be subject to the terms of the lock-up agreement, and provided further that any such restricted stock units, options, warrants or rights are held by the securityholder pursuant to an agreement or equity awards granted under a stock incentive plan or other equity award plan, each such agreement or plan which is described in this prospectus, or (xi) pursuant to a bona fide third party tender offer, merger, consolidation or other similar transaction approved by our board of directors and made to all stockholders involving a change in control, provided that if such transaction is not completed, all such lock-up securities would remain subject to the restrictions in the immediately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foregoing restrictions shall not apply to the establishment of any contract, instruction or plan, or a Plan, that satisfies all of the requirements of Rule 10b5-1(c)(1)(i)(B) under the Exchange Act; provided, that no sales of the securityholder’s shares of common stock shall be made pursuant to such a Plan prior to the expiration of the lock-up period, and such Plan may only be established if no public announcement of the establishment or existence thereof and no filing with the SEC or other regulatory authority in respect thereof or transactions thereunder or contemplated thereby, by the securityholder, us or any other person, shall be required, and no such announcement or filing is made voluntarily, by the securityholder, us or any other person, prior to the expiration of the lock-up period, except for such disclosure as may be required under the Exchange Act or Regulation S-K of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may, in their sole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 except that we may sell our common stock pursuant to the Sales Agreement with TD Securities (USA) LLC. </w:t>
      </w:r>
    </w:p>
    <w:p>
      <w:pPr>
        <w:pStyle w:val="TextBody"/>
        <w:bidi w:val="0"/>
        <w:spacing w:before="360" w:after="0"/>
        <w:jc w:val="left"/>
        <w:rPr>
          <w:rFonts w:ascii="Times New Roman" w:hAnsi="Times New Roman"/>
          <w:b/>
          <w:sz w:val="20"/>
        </w:rPr>
      </w:pPr>
      <w:r>
        <w:rPr>
          <w:rFonts w:ascii="Times New Roman" w:hAnsi="Times New Roman"/>
          <w:b/>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240" w:after="0"/>
        <w:jc w:val="left"/>
        <w:rPr>
          <w:rFonts w:ascii="Times New Roman" w:hAnsi="Times New Roman"/>
          <w:sz w:val="20"/>
        </w:rPr>
      </w:pPr>
      <w:r>
        <w:rPr>
          <w:rFonts w:ascii="Times New Roman" w:hAnsi="Times New Roman"/>
          <w:sz w:val="20"/>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7629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hereby will be passed upon for us by Goodwin Procter LLP, San Francisco, California. Certain legal matters will be passed upon for the underwriters by Latham  &amp; Watkins LLP, Costa Mesa, California. </w:t>
      </w:r>
    </w:p>
    <w:p>
      <w:pPr>
        <w:pStyle w:val="TextBody"/>
        <w:bidi w:val="0"/>
        <w:spacing w:before="480" w:after="0"/>
        <w:jc w:val="center"/>
        <w:rPr>
          <w:rFonts w:ascii="Times New Roman" w:hAnsi="Times New Roman"/>
          <w:b/>
          <w:sz w:val="20"/>
        </w:rPr>
      </w:pPr>
      <w:bookmarkStart w:id="14" w:name="supptoc7629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5" w:name="supptoc7629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base prospectus are part of a registration statement that we have filed with the SEC. Certain information in the registration statement has been omitted from this prospectus supplement and the accompanying base prospectus in accordance with the rules of the SEC. We are subject to the information requirements of the Exchange Act and, in accordance therewith, file annual, quarterly and special reports, proxy statements and other information with the SEC. These documents may be accessed without charge through the SEC’s electronic data gathering, analysis and retrieval system, or EDGAR, via electronic means, including the SEC’s home page on the Internet (</w:t>
      </w:r>
      <w:r>
        <w:rPr>
          <w:rFonts w:ascii="Times New Roman" w:hAnsi="Times New Roman"/>
          <w:i/>
          <w:sz w:val="20"/>
        </w:rPr>
        <w:t>www.sec.gov</w:t>
      </w:r>
      <w:r>
        <w:rPr>
          <w:rFonts w:ascii="Times New Roman" w:hAnsi="Times New Roman"/>
          <w:sz w:val="20"/>
        </w:rPr>
        <w:t xml:space="preserve">). You may also inspect the registration statement, this prospectus supplement and the accompanying base prospectus on this website. </w:t>
      </w:r>
    </w:p>
    <w:p>
      <w:pPr>
        <w:pStyle w:val="TextBody"/>
        <w:bidi w:val="0"/>
        <w:spacing w:before="240" w:after="0"/>
        <w:jc w:val="left"/>
        <w:rPr>
          <w:rFonts w:ascii="Times New Roman" w:hAnsi="Times New Roman"/>
          <w:sz w:val="20"/>
        </w:rPr>
      </w:pPr>
      <w:r>
        <w:rPr>
          <w:rFonts w:ascii="Times New Roman" w:hAnsi="Times New Roman"/>
          <w:sz w:val="20"/>
        </w:rPr>
        <w:t xml:space="preserve">Those filings are also available to the public on, or accessible through, our website at </w:t>
      </w:r>
      <w:r>
        <w:rPr>
          <w:rFonts w:ascii="Times New Roman" w:hAnsi="Times New Roman"/>
          <w:i/>
          <w:sz w:val="20"/>
        </w:rPr>
        <w:t>www.absci.com</w:t>
      </w:r>
      <w:r>
        <w:rPr>
          <w:rFonts w:ascii="Times New Roman" w:hAnsi="Times New Roman"/>
          <w:sz w:val="20"/>
        </w:rPr>
        <w:t xml:space="preserve">. Information contained on our website is not incorporated by reference into this prospectus supplement or the accompanying base prospectus, and, except for the documents incorporated by reference as noted below, you should not consider any information on, or that can be accessed from, our website as part of this prospectus supplement or the registration statement of which this prospectus supplement and the accompanying base prospectus are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76291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after the date hereof with the SEC prior to the termination of this offering that is incorporated by reference herein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except as to any portion of any future report or document that is not deemed filed under such provisions, after the date of this prospectus supplement and prior to the termination of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w:t>
            </w:r>
            <w:hyperlink r:id="rId4">
              <w:r>
                <w:rPr>
                  <w:rStyle w:val="InternetLink"/>
                  <w:rFonts w:ascii="Times New Roman" w:hAnsi="Times New Roman"/>
                  <w:sz w:val="20"/>
                </w:rPr>
                <w:t>March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14, 2026</w:t>
              </w:r>
            </w:hyperlink>
            <w:r>
              <w:rPr>
                <w:rFonts w:ascii="Times New Roman" w:hAnsi="Times New Roman"/>
                <w:sz w:val="20"/>
              </w:rPr>
              <w:t xml:space="preserve">, </w:t>
            </w:r>
            <w:hyperlink r:id="rId8">
              <w:r>
                <w:rPr>
                  <w:rStyle w:val="InternetLink"/>
                  <w:rFonts w:ascii="Times New Roman" w:hAnsi="Times New Roman"/>
                  <w:sz w:val="20"/>
                </w:rPr>
                <w:t>March  6, 2026</w:t>
              </w:r>
            </w:hyperlink>
            <w:r>
              <w:rPr>
                <w:rFonts w:ascii="Times New Roman" w:hAnsi="Times New Roman"/>
                <w:sz w:val="20"/>
              </w:rPr>
              <w:t xml:space="preserve"> (with respect to Item 1.01 and Item 5.02 only), </w:t>
            </w:r>
            <w:hyperlink r:id="rId9">
              <w:r>
                <w:rPr>
                  <w:rStyle w:val="InternetLink"/>
                  <w:rFonts w:ascii="Times New Roman" w:hAnsi="Times New Roman"/>
                  <w:sz w:val="20"/>
                </w:rPr>
                <w:t>March  24, 2026</w:t>
              </w:r>
            </w:hyperlink>
            <w:r>
              <w:rPr>
                <w:rFonts w:ascii="Times New Roman" w:hAnsi="Times New Roman"/>
                <w:sz w:val="20"/>
              </w:rPr>
              <w:t xml:space="preserve"> (with respect to Item 8.01 only), </w:t>
            </w:r>
            <w:hyperlink r:id="rId10">
              <w:r>
                <w:rPr>
                  <w:rStyle w:val="InternetLink"/>
                  <w:rFonts w:ascii="Times New Roman" w:hAnsi="Times New Roman"/>
                  <w:sz w:val="20"/>
                </w:rPr>
                <w:t>May  7, 2026</w:t>
              </w:r>
            </w:hyperlink>
            <w:r>
              <w:rPr>
                <w:rFonts w:ascii="Times New Roman" w:hAnsi="Times New Roman"/>
                <w:sz w:val="20"/>
              </w:rPr>
              <w:t xml:space="preserve"> (with respect to Item 8.01 only), </w:t>
            </w:r>
            <w:hyperlink r:id="rId11">
              <w:r>
                <w:rPr>
                  <w:rStyle w:val="InternetLink"/>
                  <w:rFonts w:ascii="Times New Roman" w:hAnsi="Times New Roman"/>
                  <w:sz w:val="20"/>
                </w:rPr>
                <w:t>June  5, 2026</w:t>
              </w:r>
            </w:hyperlink>
            <w:r>
              <w:rPr>
                <w:rFonts w:ascii="Times New Roman" w:hAnsi="Times New Roman"/>
                <w:sz w:val="20"/>
              </w:rPr>
              <w:t xml:space="preserve"> and </w:t>
            </w:r>
            <w:hyperlink r:id="rId12">
              <w:r>
                <w:rPr>
                  <w:rStyle w:val="InternetLink"/>
                  <w:rFonts w:ascii="Times New Roman" w:hAnsi="Times New Roman"/>
                  <w:sz w:val="20"/>
                </w:rPr>
                <w:t>June 24,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dated July  21, 2021, and as set forth by the description of our common stock set forth in </w:t>
            </w:r>
            <w:hyperlink r:id="rId14">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2021, filed with the SEC on March 22, 2022, including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Rule 412 under the Securities Act, 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base prospectus modifies or supersedes the statement.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us at the following address: Absci Corporation, 18105 SE Mill Plain Blvd, Vancouver, Washington, 98683. Our website is located at </w:t>
      </w:r>
      <w:r>
        <w:rPr>
          <w:rFonts w:ascii="Times New Roman" w:hAnsi="Times New Roman"/>
          <w:i/>
          <w:sz w:val="20"/>
        </w:rPr>
        <w:t>www.absci.com</w:t>
      </w:r>
      <w:r>
        <w:rPr>
          <w:rFonts w:ascii="Times New Roman" w:hAnsi="Times New Roman"/>
          <w:sz w:val="20"/>
        </w:rPr>
        <w:t xml:space="preserve">. The reference to our website is intended to be an inactive textual reference and, except for the documents incorporated by reference as noted above, the information on, or accessible through, our website is not intended to be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authorized anyone else to provide you with different information. You should not assume that the information in this prospectus supplement or in the documents incorporated by reference is accurate as of any date other than the date on the front of this prospectus supplement or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we filed with the SEC. We have incorporated exhibits into such registration statement. You should read the exhibits carefully for provisions that may be important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6590" cy="5791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26590" cy="5791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$400,000,000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up to $400,000,000 in aggregate principal amount of our common stock, preferred stock, debt securities, warrants or units, in each case in one or more issuances and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“ABSI”. On August 7, 2025, the closing price of our common stock, as reported on The Nasdaq Global Select Market, was $2.92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securities involves risks. You should review carefully the risks and uncertainties described under the heading “</w:t>
      </w:r>
      <w:hyperlink w:anchor="tx76291_6">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on page 10 of this prospectus and under any similar heading in the documents that are incorporated by reference into this prospectus, as well as “</w:t>
      </w:r>
      <w:r>
        <w:rPr>
          <w:rFonts w:ascii="Times New Roman" w:hAnsi="Times New Roman"/>
          <w:b/>
          <w:i/>
          <w:sz w:val="20"/>
        </w:rPr>
        <w:t>Special Note Regarding Forward-Looking Statements</w:t>
      </w:r>
      <w:r>
        <w:rPr>
          <w:rFonts w:ascii="Times New Roman" w:hAnsi="Times New Roman"/>
          <w:sz w:val="20"/>
        </w:rPr>
        <w:t xml:space="preserve">” </w:t>
      </w:r>
      <w:r>
        <w:rPr>
          <w:rFonts w:ascii="Times New Roman" w:hAnsi="Times New Roman"/>
          <w:b/>
          <w:sz w:val="20"/>
        </w:rPr>
        <w:t xml:space="preserve">on page 4 of this prospectus. You should read the entire prospectus and any applicable prospectus supplement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22,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7629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3">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5">
              <w:r>
                <w:rPr>
                  <w:rStyle w:val="InternetLink"/>
                  <w:rFonts w:ascii="Times New Roman" w:hAnsi="Times New Roman"/>
                  <w:sz w:val="20"/>
                </w:rPr>
                <w:t>ABOUT 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9">
              <w:r>
                <w:rPr>
                  <w:rStyle w:val="InternetLink"/>
                  <w:rFonts w:ascii="Times New Roman" w:hAnsi="Times New Roman"/>
                  <w:sz w:val="20"/>
                </w:rPr>
                <w:t>GENERAL DESCRIPTION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0">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1">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2">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3">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6291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When used in this prospectus, the terms “the Company,” “Absci,” “we,” “our” and “us” refer to Absci Corporation, a Delaware corporation, and its subsidiaries, unless otherwise specified or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76291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Securities and Exchange Commission, or the SEC, using a “shelf” registration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for an aggregate offering amount of up to $400,000,000.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 xml:space="preserve">Where You Can Find More Information” </w:t>
      </w:r>
      <w:r>
        <w:rPr>
          <w:rFonts w:ascii="Times New Roman" w:hAnsi="Times New Roman"/>
          <w:sz w:val="20"/>
        </w:rPr>
        <w:t>and “</w:t>
      </w:r>
      <w:r>
        <w:rPr>
          <w:rFonts w:ascii="Times New Roman" w:hAnsi="Times New Roman"/>
          <w:i/>
          <w:sz w:val="20"/>
        </w:rPr>
        <w:t>Incorporation of Certain Information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0"/>
        <w:jc w:val="center"/>
        <w:rPr>
          <w:rFonts w:ascii="Times New Roman" w:hAnsi="Times New Roman"/>
          <w:b/>
          <w:sz w:val="20"/>
        </w:rPr>
      </w:pPr>
      <w:bookmarkStart w:id="18" w:name="tx76291_2"/>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on Form S-3 that we filed with the SEC.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investor relations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investor relations website at </w:t>
      </w:r>
      <w:r>
        <w:rPr>
          <w:rFonts w:ascii="Times New Roman" w:hAnsi="Times New Roman"/>
          <w:i/>
          <w:sz w:val="20"/>
        </w:rPr>
        <w:t>investors.absci.com</w:t>
      </w:r>
      <w:r>
        <w:rPr>
          <w:rFonts w:ascii="Times New Roman" w:hAnsi="Times New Roman"/>
          <w:sz w:val="20"/>
        </w:rPr>
        <w:t xml:space="preserve">. Our investor relations website, corporate website at </w:t>
      </w:r>
      <w:r>
        <w:rPr>
          <w:rFonts w:ascii="Times New Roman" w:hAnsi="Times New Roman"/>
          <w:i/>
          <w:sz w:val="20"/>
        </w:rPr>
        <w:t>www.absci.com</w:t>
      </w:r>
      <w:r>
        <w:rPr>
          <w:rFonts w:ascii="Times New Roman" w:hAnsi="Times New Roman"/>
          <w:sz w:val="20"/>
        </w:rPr>
        <w:t xml:space="preserve">, and the information contained or connected to these websites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76291_3"/>
      <w:bookmarkEnd w:id="1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the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year ended December 31, 2024, filed with the SEC on </w:t>
            </w:r>
            <w:hyperlink r:id="rId16">
              <w:r>
                <w:rPr>
                  <w:rStyle w:val="InternetLink"/>
                  <w:rFonts w:ascii="Times New Roman" w:hAnsi="Times New Roman"/>
                  <w:sz w:val="20"/>
                </w:rPr>
                <w:t>March 18,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period ended March 31, 2025, filed with the SEC on </w:t>
            </w:r>
            <w:hyperlink r:id="rId17">
              <w:r>
                <w:rPr>
                  <w:rStyle w:val="InternetLink"/>
                  <w:rFonts w:ascii="Times New Roman" w:hAnsi="Times New Roman"/>
                  <w:sz w:val="20"/>
                </w:rPr>
                <w:t>May 13, 2025</w:t>
              </w:r>
            </w:hyperlink>
            <w:r>
              <w:rPr>
                <w:rFonts w:ascii="Times New Roman" w:hAnsi="Times New Roman"/>
                <w:sz w:val="20"/>
              </w:rPr>
              <w:t xml:space="preserve"> and the period ended June  30, 2025, filed with the SEC on </w:t>
            </w:r>
            <w:hyperlink r:id="rId18">
              <w:r>
                <w:rPr>
                  <w:rStyle w:val="InternetLink"/>
                  <w:rFonts w:ascii="Times New Roman" w:hAnsi="Times New Roman"/>
                  <w:sz w:val="20"/>
                </w:rPr>
                <w:t>August 12,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19">
              <w:r>
                <w:rPr>
                  <w:rStyle w:val="InternetLink"/>
                  <w:rFonts w:ascii="Times New Roman" w:hAnsi="Times New Roman"/>
                  <w:sz w:val="20"/>
                </w:rPr>
                <w:t>January 15, 2025</w:t>
              </w:r>
            </w:hyperlink>
            <w:r>
              <w:rPr>
                <w:rFonts w:ascii="Times New Roman" w:hAnsi="Times New Roman"/>
                <w:sz w:val="20"/>
              </w:rPr>
              <w:t xml:space="preserve">, </w:t>
            </w:r>
            <w:hyperlink r:id="rId20">
              <w:r>
                <w:rPr>
                  <w:rStyle w:val="InternetLink"/>
                  <w:rFonts w:ascii="Times New Roman" w:hAnsi="Times New Roman"/>
                  <w:sz w:val="20"/>
                </w:rPr>
                <w:t>March  18, 2025</w:t>
              </w:r>
            </w:hyperlink>
            <w:r>
              <w:rPr>
                <w:rFonts w:ascii="Times New Roman" w:hAnsi="Times New Roman"/>
                <w:sz w:val="20"/>
              </w:rPr>
              <w:t xml:space="preserve"> (with respect to Item 8.01 only), </w:t>
            </w:r>
            <w:hyperlink r:id="rId21">
              <w:r>
                <w:rPr>
                  <w:rStyle w:val="InternetLink"/>
                  <w:rFonts w:ascii="Times New Roman" w:hAnsi="Times New Roman"/>
                  <w:sz w:val="20"/>
                </w:rPr>
                <w:t>April  28, 2025</w:t>
              </w:r>
            </w:hyperlink>
            <w:r>
              <w:rPr>
                <w:rFonts w:ascii="Times New Roman" w:hAnsi="Times New Roman"/>
                <w:sz w:val="20"/>
              </w:rPr>
              <w:t xml:space="preserve">, </w:t>
            </w:r>
            <w:hyperlink r:id="rId22">
              <w:r>
                <w:rPr>
                  <w:rStyle w:val="InternetLink"/>
                  <w:rFonts w:ascii="Times New Roman" w:hAnsi="Times New Roman"/>
                  <w:sz w:val="20"/>
                </w:rPr>
                <w:t>May  13, 2025</w:t>
              </w:r>
            </w:hyperlink>
            <w:r>
              <w:rPr>
                <w:rFonts w:ascii="Times New Roman" w:hAnsi="Times New Roman"/>
                <w:sz w:val="20"/>
              </w:rPr>
              <w:t xml:space="preserve"> (with respect to Item 8.01 only), </w:t>
            </w:r>
            <w:hyperlink r:id="rId23">
              <w:r>
                <w:rPr>
                  <w:rStyle w:val="InternetLink"/>
                  <w:rFonts w:ascii="Times New Roman" w:hAnsi="Times New Roman"/>
                  <w:sz w:val="20"/>
                </w:rPr>
                <w:t>June  12, 2025</w:t>
              </w:r>
            </w:hyperlink>
            <w:r>
              <w:rPr>
                <w:rFonts w:ascii="Times New Roman" w:hAnsi="Times New Roman"/>
                <w:sz w:val="20"/>
              </w:rPr>
              <w:t xml:space="preserve">, </w:t>
            </w:r>
            <w:hyperlink r:id="rId24">
              <w:r>
                <w:rPr>
                  <w:rStyle w:val="InternetLink"/>
                  <w:rFonts w:ascii="Times New Roman" w:hAnsi="Times New Roman"/>
                  <w:sz w:val="20"/>
                </w:rPr>
                <w:t>July  8, 2025</w:t>
              </w:r>
            </w:hyperlink>
            <w:r>
              <w:rPr>
                <w:rFonts w:ascii="Times New Roman" w:hAnsi="Times New Roman"/>
                <w:sz w:val="20"/>
              </w:rPr>
              <w:t xml:space="preserve"> and </w:t>
            </w:r>
            <w:hyperlink r:id="rId25">
              <w:r>
                <w:rPr>
                  <w:rStyle w:val="InternetLink"/>
                  <w:rFonts w:ascii="Times New Roman" w:hAnsi="Times New Roman"/>
                  <w:sz w:val="20"/>
                </w:rPr>
                <w:t>July 25,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Schedule 14A, filed with the SEC on </w:t>
            </w:r>
            <w:hyperlink r:id="rId26">
              <w:r>
                <w:rPr>
                  <w:rStyle w:val="InternetLink"/>
                  <w:rFonts w:ascii="Times New Roman" w:hAnsi="Times New Roman"/>
                  <w:sz w:val="20"/>
                </w:rPr>
                <w:t>April 28,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7">
              <w:r>
                <w:rPr>
                  <w:rStyle w:val="InternetLink"/>
                  <w:rFonts w:ascii="Times New Roman" w:hAnsi="Times New Roman"/>
                  <w:sz w:val="20"/>
                </w:rPr>
                <w:t>Form 8-A</w:t>
              </w:r>
            </w:hyperlink>
            <w:r>
              <w:rPr>
                <w:rFonts w:ascii="Times New Roman" w:hAnsi="Times New Roman"/>
                <w:sz w:val="20"/>
              </w:rPr>
              <w:t xml:space="preserve">, dated July 21, 2021, and as set forth in </w:t>
            </w:r>
            <w:hyperlink r:id="rId28">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2024, filed with the SEC on March 18, 2025, including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120" w:after="0"/>
        <w:jc w:val="center"/>
        <w:rPr>
          <w:rFonts w:ascii="Times New Roman" w:hAnsi="Times New Roman"/>
          <w:sz w:val="20"/>
        </w:rPr>
      </w:pPr>
      <w:r>
        <w:rPr>
          <w:rFonts w:ascii="Times New Roman" w:hAnsi="Times New Roman"/>
          <w:sz w:val="20"/>
        </w:rPr>
        <w:t xml:space="preserve">Absci Corporation </w:t>
      </w:r>
    </w:p>
    <w:p>
      <w:pPr>
        <w:pStyle w:val="TextBody"/>
        <w:bidi w:val="0"/>
        <w:spacing w:before="0" w:after="0"/>
        <w:jc w:val="center"/>
        <w:rPr>
          <w:rFonts w:ascii="Times New Roman" w:hAnsi="Times New Roman"/>
          <w:sz w:val="20"/>
        </w:rPr>
      </w:pPr>
      <w:r>
        <w:rPr>
          <w:rFonts w:ascii="Times New Roman" w:hAnsi="Times New Roman"/>
          <w:sz w:val="20"/>
        </w:rPr>
        <w:t xml:space="preserve">18105 SE Mill Plain Blvd </w:t>
      </w:r>
    </w:p>
    <w:p>
      <w:pPr>
        <w:pStyle w:val="TextBody"/>
        <w:bidi w:val="0"/>
        <w:spacing w:before="0" w:after="0"/>
        <w:jc w:val="center"/>
        <w:rPr>
          <w:rFonts w:ascii="Times New Roman" w:hAnsi="Times New Roman"/>
          <w:sz w:val="20"/>
        </w:rPr>
      </w:pPr>
      <w:r>
        <w:rPr>
          <w:rFonts w:ascii="Times New Roman" w:hAnsi="Times New Roman"/>
          <w:sz w:val="20"/>
        </w:rPr>
        <w:t xml:space="preserve">Vancouver, WA 98683 </w:t>
      </w:r>
    </w:p>
    <w:p>
      <w:pPr>
        <w:pStyle w:val="TextBody"/>
        <w:bidi w:val="0"/>
        <w:spacing w:before="0" w:after="0"/>
        <w:jc w:val="center"/>
        <w:rPr>
          <w:rFonts w:ascii="Times New Roman" w:hAnsi="Times New Roman"/>
          <w:sz w:val="20"/>
        </w:rPr>
      </w:pPr>
      <w:r>
        <w:rPr>
          <w:rFonts w:ascii="Times New Roman" w:hAnsi="Times New Roman"/>
          <w:sz w:val="20"/>
        </w:rPr>
        <w:t xml:space="preserve">(360) 949-1041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76291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Forward-looking statements include statements that may relate to our plans, objectives, goals, strategies, future events, future revenue or performance, capital expenditures, financing needs and other information that is not historical information. You can identify these forward-looking statements by the use of terminology such as “may,” “will,” “should,” “expects,” “intends,” “plans,” “anticipates,” “believes,” “estimates,” “predicts,” “potential,” “continue” or the negative of these terms or other comparable terminology.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expectations regarding the initiation, timing, progress, results, and costs of both our internally developed programs and partnered programs, including current and future preclinical studies and clinical trials, and the period during which the results of such studies and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timing to advance our product candidates in, and to successfully initiate, conduct, enroll and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therapeutic potential of our product candidates, and the disease indications for which we intend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likelihood of, and our ability to obtain and maintain, regulatory clearances of our Investigational New Drug (IND) applications to initiate clinical trials and regulatory approval to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further development of, successful application of, and the rate and degree of market acceptance of, our Integrated Drug Creation platform, including progress towards </w:t>
            </w:r>
            <w:r>
              <w:rPr>
                <w:rFonts w:ascii="Times New Roman" w:hAnsi="Times New Roman"/>
                <w:i/>
                <w:sz w:val="20"/>
              </w:rPr>
              <w:t>in silico</w:t>
            </w:r>
            <w:r>
              <w:rPr>
                <w:rFonts w:ascii="Times New Roman" w:hAnsi="Times New Roman"/>
                <w:sz w:val="20"/>
              </w:rPr>
              <w:t xml:space="preserve"> biologic drug discovery;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leverage our Integrated Drug Creation platform to shorten preclinical development timelines for biologics;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markets for our product candidates, if approved, as well as those product candidates developed by our partners using our services and technologies, including the growth rate of the biologics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new partners and enter into drug creation agreements that contain milestone and royalty obligations in favor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 perception of the use of artificial intelligence (AI) and product candidates developed using AI may negatively impact demand for, or regulatory approval of, our product candidates and adversely affect investor and marketplace perception of our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to receive revenue from the achievement of milestones and from royalties on net sales under agreements with our partners with respect to products originating from our Integrated Drug Creation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commercial license agreements for our existing partnered programs who do not currently have milestone payment and royalty obligations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and grow our business by expanding our relationships with existing partners or introducing our Integrated Drug Creation platform to new partners and developing product candidates for internally developed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current and future partners’ continued development of, and ability to commercialize, biologic drugs generated utilizing our proprietary Integrated Drug Creation platform;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strategy, including our strategy to advance internally developed programs through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revenue, capital requirements and our need for or ability to obtain additional funding before we can expect to generate additional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sufficiency of our cash, cash equivalents and short-term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calculations and estimates related to the valuation of our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maintain or expand collaborations, partnerships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our partners with a full drug discovery solution and the use of AI across our Integrated Drug Creation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platform, products and other technologies, the duration of such protection and our ability to operate our business without infringing on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hire and retain key personnel and to manage our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use of our cash, cash equivalents and short-term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that of companies in our industry and the financial markets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Jumpstart Our Business Startups Act of 2012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economic conditions, including market volatility, acts of war and civil and political unrest, and our expectations about market trends and effects from inflation and fluctuations in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Actual results or events could differ materially from the plans, intentions, and expectations disclosed in the forward-looking statements we make.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or any applicable prospectus supplement. Our forward-looking statements do not reflect the potential impact of any future acquisitions, mergers, dispositions, collaborations, joint ventures, or investments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or any applicable prospectus supplement or free writing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w:t>
      </w:r>
    </w:p>
    <w:p>
      <w:pPr>
        <w:pStyle w:val="TextBody"/>
        <w:bidi w:val="0"/>
        <w:spacing w:before="240" w:after="0"/>
        <w:jc w:val="left"/>
        <w:rPr>
          <w:rFonts w:ascii="Times New Roman" w:hAnsi="Times New Roman"/>
          <w:sz w:val="20"/>
        </w:rPr>
      </w:pPr>
      <w:r>
        <w:rPr>
          <w:rFonts w:ascii="Times New Roman" w:hAnsi="Times New Roman"/>
          <w:sz w:val="20"/>
        </w:rPr>
        <w:t>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sz w:val="20"/>
        </w:rPr>
        <w:t>Risk Factors</w:t>
      </w:r>
      <w:r>
        <w:rPr>
          <w:rFonts w:ascii="Times New Roman" w:hAnsi="Times New Roman"/>
          <w:sz w:val="20"/>
        </w:rPr>
        <w:t xml:space="preserve">” contained in this prospectus and any related prospectus supplement or free writing prospectus,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contains references to our trademarks and service marks and to those belonging to third parties. We use various trademarks and tradenames in our business. Absci’s stylized A logo, Absci®, SoluPro®, Bionic SoluPro®, Unlimit with us® (design), and SoluPure® are our registered trademarks with the U.S. Patent and Trademark Office.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76291_5"/>
      <w:bookmarkEnd w:id="21"/>
      <w:r>
        <w:rPr>
          <w:rFonts w:ascii="Times New Roman" w:hAnsi="Times New Roman"/>
          <w:b/>
          <w:sz w:val="20"/>
        </w:rPr>
        <w:t xml:space="preserve">ABOUT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Absci is a clinical stage biopharmaceutical company advancing potential breakthrough therapeutics designed with generative artificial intelligence (AI). Our Integrated Drug Creation platform comprises, in part, cutting edge generative AI models aimed at designing better antibody therapeutics, including against hard-to-drug targets. Antibody therapeutics represent a growing market and significant medical opportunity, yet the biopharmaceutical industry faces challenges in bringing these potentially life-changing medicines to patients. Leveraging our synthetic biology roots, we expect our Integrated Drug Creation platform to improve upon traditional biologic drug discovery by using AI to simultaneously optimize multiple drug characteristics that may be important to development and therapeutic benefit. Through these efforts, we aim to shorten time to clinic, while increasing the probability of success. Our approach expands the possibilities in biopharmaceuticals — shifting from a paradigm of drug discovery to drug creation — with the goal of bringing best-in-class and first-in-class antibody therapeutics to the patients who need them.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Model </w:t>
      </w:r>
    </w:p>
    <w:p>
      <w:pPr>
        <w:pStyle w:val="TextBody"/>
        <w:bidi w:val="0"/>
        <w:spacing w:before="120" w:after="0"/>
        <w:jc w:val="left"/>
        <w:rPr>
          <w:rFonts w:ascii="Times New Roman" w:hAnsi="Times New Roman"/>
          <w:sz w:val="20"/>
        </w:rPr>
      </w:pPr>
      <w:r>
        <w:rPr>
          <w:rFonts w:ascii="Times New Roman" w:hAnsi="Times New Roman"/>
          <w:sz w:val="20"/>
        </w:rPr>
        <w:t>Our business model is focused on monetizing our Integrated Drug Creation platform by generating internally developed programs that are later partnered or out-licensed following certain value inflection points (anywhere from preclinical through clinical development) or by partnering with third parties who wish to leverage our Integrated Drug Creation platform for early discovery efforts in a variety of deal structures. Our Integrated Drug Creation platform enables our core competencies in three broad areas: target selection and discovery; AI-guided antibody drug creation, such as </w:t>
      </w:r>
      <w:r>
        <w:rPr>
          <w:rFonts w:ascii="Times New Roman" w:hAnsi="Times New Roman"/>
          <w:i/>
          <w:sz w:val="20"/>
        </w:rPr>
        <w:t>de novo</w:t>
      </w:r>
      <w:r>
        <w:rPr>
          <w:rFonts w:ascii="Times New Roman" w:hAnsi="Times New Roman"/>
          <w:sz w:val="20"/>
        </w:rPr>
        <w:t> antibody design; and AI-guided lead optimization. Recently, in collaboration with the California Institute of Technology, we demonstrated the successful </w:t>
      </w:r>
      <w:r>
        <w:rPr>
          <w:rFonts w:ascii="Times New Roman" w:hAnsi="Times New Roman"/>
          <w:i/>
          <w:sz w:val="20"/>
        </w:rPr>
        <w:t>de novo</w:t>
      </w:r>
      <w:r>
        <w:rPr>
          <w:rFonts w:ascii="Times New Roman" w:hAnsi="Times New Roman"/>
          <w:sz w:val="20"/>
        </w:rPr>
        <w:t xml:space="preserve"> design of an antibody that targets a previously difficult-to-drug epitope in the HIV “caldera” region. </w:t>
      </w:r>
    </w:p>
    <w:p>
      <w:pPr>
        <w:pStyle w:val="TextBody"/>
        <w:bidi w:val="0"/>
        <w:spacing w:before="240" w:after="0"/>
        <w:jc w:val="left"/>
        <w:rPr>
          <w:rFonts w:ascii="Times New Roman" w:hAnsi="Times New Roman"/>
          <w:sz w:val="20"/>
        </w:rPr>
      </w:pPr>
      <w:r>
        <w:rPr>
          <w:rFonts w:ascii="Times New Roman" w:hAnsi="Times New Roman"/>
          <w:b/>
          <w:i/>
          <w:sz w:val="20"/>
        </w:rPr>
        <w:t>Internally Developed Programs:</w:t>
      </w:r>
      <w:r>
        <w:rPr>
          <w:rFonts w:ascii="Times New Roman" w:hAnsi="Times New Roman"/>
          <w:sz w:val="20"/>
        </w:rPr>
        <w:t xml:space="preserve"> We believe that by developing our own pipeline, we will create optionality for enhanced monetization and validation of our Integrated Drug Creation platform. With the ability to selectively choose both novel and fast-follower targets, in addition to develop potentially best-in-class attributes, we aim to take our internally developed programs to certain value inflection points before considering partnering or out-licensing opportunities. We believe our Integrated Drug Creation platform, in combination with our clinical development strategy, is driving numerous potential near-term value inflection points that may enable proof of concept of two internally developed programs, ABS-101 and ABS-201, by the second half of 2026. Specifically, for ABS-101, which is in development as a potential treatment for Inflammatory Bowel Disease, we initiated the Phase 1 clinical trial in May 2025, and subject to successful completion of the Phase 1 clinical trial, we anticipate starting the Phase 1b/2a clinical trial by the first half of 2026; while for ABS-201, which is in development for the potential treatment of androgenetic alopecia, we anticipate filing an Investigational New Drug application or comparable foreign regulatory filing in the first half of 2026 and, subject to clearance of IND or comparable foreign regulatory filing and initiation of phase 1 clinical development, an interim Phase 1 read-out in the second half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Partnered Programs: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Drug Creation Programs</w:t>
            </w:r>
            <w:r>
              <w:rPr>
                <w:rFonts w:ascii="Times New Roman" w:hAnsi="Times New Roman"/>
                <w:sz w:val="20"/>
              </w:rPr>
              <w:t xml:space="preserve">: We enter into collaborations with third parties who are seeking to leverage our platform to solve challenging problems. We work closely with our partners on single and multi-target programs to develop product candidates against targets they have selected. We aim to expand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diversify our portfolio of partnered programs through these collaborations, each of which may include up-front fees and research fees, as well as potential clinical and/or commercial milestones and royalties.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Co-development</w:t>
            </w:r>
            <w:r>
              <w:rPr>
                <w:rFonts w:ascii="Times New Roman" w:hAnsi="Times New Roman"/>
                <w:sz w:val="20"/>
              </w:rPr>
              <w:t> </w:t>
            </w:r>
            <w:r>
              <w:rPr>
                <w:rFonts w:ascii="Times New Roman" w:hAnsi="Times New Roman"/>
                <w:b/>
                <w:sz w:val="20"/>
              </w:rPr>
              <w:t>Programs</w:t>
            </w:r>
            <w:r>
              <w:rPr>
                <w:rFonts w:ascii="Times New Roman" w:hAnsi="Times New Roman"/>
                <w:sz w:val="20"/>
              </w:rPr>
              <w:t xml:space="preserve">: We enter into co-development partnerships with third parties who may offer perceived synergies with our Integrated Drug Creation platform. Our co-development programs are based on a clear alignment to take these programs through to certain value inflection points before considering partnering or out-licensing opportunities. Our co-development partnerships may be directed to either single and multi-target programs and may include mutual cost-sharing and/or technology contributions. We aim to further expand and diversify our portfolio of partnered programs through these co-development partnerships. By sharing both the risks and rewards of these programs, we ensure both parties are motivated for success.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date, we have had over 25 partnered programs and anticipate entering into additional partnerships. </w:t>
      </w:r>
    </w:p>
    <w:p>
      <w:pPr>
        <w:pStyle w:val="TextBody"/>
        <w:bidi w:val="0"/>
        <w:spacing w:before="240" w:after="0"/>
        <w:jc w:val="left"/>
        <w:rPr>
          <w:rFonts w:ascii="Times New Roman" w:hAnsi="Times New Roman"/>
          <w:sz w:val="20"/>
        </w:rPr>
      </w:pPr>
      <w:r>
        <w:rPr>
          <w:rFonts w:ascii="Times New Roman" w:hAnsi="Times New Roman"/>
          <w:sz w:val="20"/>
        </w:rPr>
        <w:t xml:space="preserve">Our evolving business model is underpinned by our Integrated Drug Creation platform which supports a strategic diversification of our program portfolio through internally developed programs, partnered drug creation programs and co-development programs. This strategic diversification allows us the potential to balance our program portfolio between internally developed programs for which we have more control and may provide more significant economic returns, and partnered programs which broaden our reach into therapeutic areas where our partner has established capabilities and expertise. Thus, the cornerstone of this business model evolution lies in the diversification of risk and potential return on investment. Our business model not only secures a focused set of therapeutic areas, but also gives us greater optionality, enhancing our ability to pivot and adapt as the programs progress. We believe we will grow and diversify our portfolio of programs through our model, ultimately driving innovation and delivering value for all stakeholders.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History and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formed as AbSci, LLC in August 2011 as a limited liability company under the Oregon Limited Liability Act and subsequently converted into a Delaware limited liability company under the laws of the State of Delaware in April 2016. In October 2020, we completed a reorganization whereby we converted from a Delaware limited liability company to a Delaware corporation under the name Absci Corporation. We have five direct wholly-owned subsidiaries, Absci Pty Ltd., Absci GmbH, AbSci, LLC, De Novo Design, LLC and Target Discovery Merger Sub II, LLC, and one indirect wholly-owned subsidiary, Absci d.o.o. Beograd.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18105 SE Mill Plain Blvd, Vancouver, WA 98683, and our telephone number is (360) 949-1041. Our website address is </w:t>
      </w:r>
      <w:r>
        <w:rPr>
          <w:rFonts w:ascii="Times New Roman" w:hAnsi="Times New Roman"/>
          <w:i/>
          <w:sz w:val="20"/>
        </w:rPr>
        <w:t>www.absci.com</w:t>
      </w:r>
      <w:r>
        <w:rPr>
          <w:rFonts w:ascii="Times New Roman" w:hAnsi="Times New Roman"/>
          <w:sz w:val="20"/>
        </w:rPr>
        <w:t xml:space="preserve">.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securities. </w:t>
      </w:r>
    </w:p>
    <w:p>
      <w:pPr>
        <w:pStyle w:val="TextBody"/>
        <w:bidi w:val="0"/>
        <w:spacing w:before="240" w:after="0"/>
        <w:jc w:val="left"/>
        <w:rPr>
          <w:rFonts w:ascii="Times New Roman" w:hAnsi="Times New Roman"/>
          <w:sz w:val="20"/>
        </w:rPr>
      </w:pPr>
      <w:r>
        <w:rPr>
          <w:rFonts w:ascii="Times New Roman" w:hAnsi="Times New Roman"/>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JOBS Act. As an emerging growth company, we may take advantage of specified reduced disclosure and other requirements that are otherwise applicable generally to public companies. These provisions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present only two years of audited financial statements and only two years of related “Management’s Discussion and Analysis of Financial Condition and Results of Operations” in our periodic reports and registration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or SOX;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such time that we are no longer an emerging growth company. We will remain an emerging growth company until the earliest to occur of: (i) the last day of the fiscal year in which we have total annual gross revenues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Accordingly, the information contained herein may be different from the information you receive from other public companies in which you hold stock.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utilize the exemption for the delayed adoption of certain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As a result of this election, the information that we provide in this prospectus or any applicable prospectus supplement or free writing prospectus may be different than the information you may receive from other public companies in which you hold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Securities Exchange Act of 1934, as amended. We may continue to be a smaller reporting company even after we are no longer an emerging growth company. We may continue to be a smaller reporting company after any offering under this prospectus and any accompanying prospectus supplement if either (i) the market value of our shares held by non-affiliates is less than $250 million as measured on the last business day of our second fiscal quarter or (ii) our annual revenue was less than $100 million during the most recently completed fiscal year and the market value of our shares held by non-affiliates is less than $700 million as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Further, if we are a smaller reporting company with less than $100 million in annual revenue, we would not be required to obtain an attestation report on internal control over financial reporting issued by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76291_6"/>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Item 1A under the caption “</w:t>
      </w:r>
      <w:r>
        <w:rPr>
          <w:rFonts w:ascii="Times New Roman" w:hAnsi="Times New Roman"/>
          <w:i/>
          <w:sz w:val="20"/>
        </w:rPr>
        <w:t>Risk Factors</w:t>
      </w:r>
      <w:r>
        <w:rPr>
          <w:rFonts w:ascii="Times New Roman" w:hAnsi="Times New Roman"/>
          <w:sz w:val="20"/>
        </w:rPr>
        <w:t>” and elsewhere in our Annual Report on Form 10-K for the fiscal year ended December 31, 2024, which is incorporated into this prospectus by reference,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76291_7"/>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General corporate purposes may include research and development costs, including costs to expand the capabilities of our Integrated Drug Creation platform, potential strategic acquisitions or licensing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short- term, interest-bearing obligations,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76291_8"/>
      <w:bookmarkEnd w:id="24"/>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76291_9"/>
      <w:bookmarkEnd w:id="25"/>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or through underwriters, dealers or agents.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6291_10"/>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We have authorized capital stock consisting of 500,000,000 shares of common stock, par value $0.0001 per share, and 10,000,000 shares of preferred stock, par value $0.0001 per share, all of which are currently undesignated. Except as otherwise provided in the certificate of designation of any series of preferred stock we may issue, the number of authorized shares of common stock or preferred stock may from time to time be increased or decreased (but not below the number of shares of such class outstanding) by the affirmative vote of the holders of a majority in voting power of the outstanding shares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we had 127,677,180 shares of common stock issued and outstanding, and no shares of preferred stock issued and outstanding. Unless stated otherwise, the following discussion summarizes the term and provisions of our amended and restated certificate of incorporation and our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of common stock held of record for the election of directors and on all matters submitted to a vote of stockholders. Except as described under “Anti-Takeover Effects of Delaware Law and Provisions of Our Amended and Restated Certificate of Incorporation and Bylaws” below, a majority vote of the holders of common stock is generally required to take action under our amended and restated certificate of incorporation and bylaws.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and no sinking fund provisions are applicable to our common stock.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action by the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“Anti-Takeover Effects of Delaware Law and Provisions of Our Amended and Restated Certificate of Incorporation and Bylaws” below. Our board of directors will make any determination to issue such shares based on its judgment as to our Company’s best interests and the best interests of our stockholders. No shares of preferred stock are currently outstanding, and we have no current plans to issue any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our investors’ rights agreement, dated as of October 19, 2020, with certain of our stockholders, or the investors’ rights agreement, certain of our stockholders are entitled to rights with respect to the registration of their shares (which we refer to herein as “registrable securities”) under the Securities Act of 1933, as amended. The investors’ rights agreement includes demand registration rights, short-form registration rights and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All fees, costs and expenses incurred in connection with registrations under the investors’ rights agreement will be borne by us, and all selling expenses, including underwriting discounts and selling commissions, will be borne by the holders of the shares being registered.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registrable securities are entitled to demand registration rights. Under the terms of our investors’ rights agreement, we will be required, upon the request of holders of at least a majority of our outstanding registrable securities, to file a registration statement and use commercially reasonable efforts to effect the registration of these shares for public resale. We are required to effect up to two registrations pursuant to this provision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Short-Form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registrable securities are also entitled to short form registration rights. Pursuant to our investors’ rights agreement, if we are eligible to file a registration statement on Form S-3, upon the request of holders of at least 20% of our outstanding registrable securities to sell registrable securities with an anticipated aggregate offering amount of at least $5.0 million net of certain expenses related to the offering, we will be required to use our commercially reasonable efforts to effect a registration of such shares. We are required to effect up to two registrations in any twelve-month period pursuant to this provision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registrable securities are entitled to piggyback registration rights. If we register any of our securities either for our own account or for the account of other security holders, the holders of our outstanding registrable securities are entitled to include their shares in the registration. Subject to certain exceptions contained in the investors’ rights agreement, we and the underwriters may limit the number of shares included in the underwritten offering if the underwriters determine that marketing factors require a limitation of the number of shares to be underwritten.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registration expenses, subject to certain limited exceptions contained in the investors’ rights agreement, of the holders of the shares registered pursuant to the demand, short form and piggyback registration rights described above, including the expenses of one counsel for the selling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granted under the investors’ rights agreement will terminate upon the earlier of (i) a deemed liquidation event, as defined in our amended and restated certificate of incorporation or certain other events constituting a sale of the Company, (ii) at such time after our initial public offering when all registrable securities could be sold under Rule 144 of the Securities Act of 1933, as amended, or a similar exemption without limitation during a three-month period without registration or (iii) the fifth anniversary of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Provisions of Our Amended and Restated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our amended and restated certificate of incorporation and bylaws may have the effect of delaying, deferring or discouraging another party from acquiring control of us. These provisions, which are summarized below, may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exchange, mortgage or other disposition involving the interested stockholder of 10% or more of the assets of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of Our Amended and Restated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bylaws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240" w:after="0"/>
        <w:jc w:val="left"/>
        <w:rPr>
          <w:rFonts w:ascii="Times New Roman" w:hAnsi="Times New Roman"/>
          <w:sz w:val="20"/>
        </w:rPr>
      </w:pPr>
      <w:r>
        <w:rPr>
          <w:rFonts w:ascii="Times New Roman" w:hAnsi="Times New Roman"/>
          <w:i/>
          <w:sz w:val="20"/>
        </w:rPr>
        <w:t>Board composition and filling vacancies</w:t>
      </w:r>
      <w:r>
        <w:rPr>
          <w:rFonts w:ascii="Times New Roman" w:hAnsi="Times New Roman"/>
          <w:sz w:val="20"/>
        </w:rPr>
        <w:t xml:space="preserve">. In accordance with our amended and restated certificate of incorporation, our board is divided into three classes serving staggered three-year terms, with one class being elected each year. Our amended and restated certificate of incorporation also provides that directors may be removed only for cause and then only by the affirmative vote of the holders of at least 75%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w:t>
      </w:r>
    </w:p>
    <w:p>
      <w:pPr>
        <w:pStyle w:val="TextBody"/>
        <w:bidi w:val="0"/>
        <w:spacing w:before="240" w:after="0"/>
        <w:jc w:val="left"/>
        <w:rPr>
          <w:rFonts w:ascii="Times New Roman" w:hAnsi="Times New Roman"/>
          <w:sz w:val="20"/>
        </w:rPr>
      </w:pPr>
      <w:r>
        <w:rPr>
          <w:rFonts w:ascii="Times New Roman" w:hAnsi="Times New Roman"/>
          <w:i/>
          <w:sz w:val="20"/>
        </w:rPr>
        <w:t>No written consent of stockholders</w:t>
      </w:r>
      <w:r>
        <w:rPr>
          <w:rFonts w:ascii="Times New Roman" w:hAnsi="Times New Roman"/>
          <w:sz w:val="20"/>
        </w:rPr>
        <w:t xml:space="preserve">. 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 without holding a meeting of stockholders. </w:t>
      </w:r>
    </w:p>
    <w:p>
      <w:pPr>
        <w:pStyle w:val="TextBody"/>
        <w:bidi w:val="0"/>
        <w:spacing w:before="240" w:after="0"/>
        <w:jc w:val="left"/>
        <w:rPr>
          <w:rFonts w:ascii="Times New Roman" w:hAnsi="Times New Roman"/>
          <w:sz w:val="20"/>
        </w:rPr>
      </w:pPr>
      <w:r>
        <w:rPr>
          <w:rFonts w:ascii="Times New Roman" w:hAnsi="Times New Roman"/>
          <w:i/>
          <w:sz w:val="20"/>
        </w:rPr>
        <w:t>Meetings of stockholders</w:t>
      </w:r>
      <w:r>
        <w:rPr>
          <w:rFonts w:ascii="Times New Roman" w:hAnsi="Times New Roman"/>
          <w:sz w:val="20"/>
        </w:rPr>
        <w:t xml:space="preserve">. 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 </w:t>
      </w:r>
    </w:p>
    <w:p>
      <w:pPr>
        <w:pStyle w:val="TextBody"/>
        <w:bidi w:val="0"/>
        <w:spacing w:before="240" w:after="0"/>
        <w:jc w:val="left"/>
        <w:rPr>
          <w:rFonts w:ascii="Times New Roman" w:hAnsi="Times New Roman"/>
          <w:sz w:val="20"/>
        </w:rPr>
      </w:pPr>
      <w:r>
        <w:rPr>
          <w:rFonts w:ascii="Times New Roman" w:hAnsi="Times New Roman"/>
          <w:i/>
          <w:sz w:val="20"/>
        </w:rPr>
        <w:t>Advance notice requirements</w:t>
      </w:r>
      <w:r>
        <w:rPr>
          <w:rFonts w:ascii="Times New Roman" w:hAnsi="Times New Roman"/>
          <w:sz w:val="20"/>
        </w:rPr>
        <w:t xml:space="preserve">. 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Amendment to amended and restated certificate of incorporation and bylaws</w:t>
      </w:r>
      <w:r>
        <w:rPr>
          <w:rFonts w:ascii="Times New Roman" w:hAnsi="Times New Roman"/>
          <w:sz w:val="20"/>
        </w:rPr>
        <w:t xml:space="preserve">. As required by the Delaware General Corporation Law, any amendment of our amended and restated certificate of incorporation must first be approved by a majority of our board of directors, and if required by law or our amended and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vote of the directors then in office, subject to any limitations set forth in our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Our amended and restated certificate of incorporation provides for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24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Our amended and restated bylaws provide that, unless we consent in writing to the selection of an alternative forum, the Court of Chancery of the State of Delaware shall be the sole and exclusive forum for any state law claims for: (i) any derivative action or proceeding brought on behalf of our Company, (ii) any action asserting a claim of breach of a fiduciary duty owed by any of our directors or officers to the Company or our stockholders, (iii) any action asserting a claim against our Company arising pursuant to any provision of the DGCL or amended and restated certificate of incorporation or bylaws, (iv) any action to interpret, apply, enforce, or determine the validity of our amended and restated certificate of incorporation or bylaws, or (v) any action asserting a claim against our Company governed by the internal affairs doctrine. In addition, unless we consent in writing to the selection of an alternate forum, the U.S. federal district courts shall be the sole and exclusive forum for resolving any complaint asserting a cause of action arising under the Securities Act of 1933, as amended. The exclusive forum provisions described above will not apply to any causes of action arising under the Securities Exchange Act of 1934, as amended, or any other claim for which the federal courts have exclusive jurisdiction. Although our amended and restated bylaws contain the choice of forum provisions described above, it is possible that a court could rule that such provisions are inapplicable for a particular claim or action or that such provisions are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Our transfer agent and registrar’s address is 150 Royall Street, Canton, MA 02021.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“ABSI”.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76291_11"/>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or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76291_12"/>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76291_13"/>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Debt Securities”</w:t>
      </w:r>
      <w:r>
        <w:rPr>
          <w:rFonts w:ascii="Times New Roman" w:hAnsi="Times New Roman"/>
          <w:sz w:val="20"/>
        </w:rPr>
        <w:t xml:space="preserve">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76291_14"/>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 or to stabilize the price of the shares, the underwriters may bid for, and purchase, shares in the open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Select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76291_15"/>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San Francisco, California.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2" w:name="tx76291_16"/>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13,495,277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6590" cy="5791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1926590" cy="5791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Absci Corporation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Book-Running Manager </w:t>
      </w:r>
    </w:p>
    <w:p>
      <w:pPr>
        <w:pStyle w:val="TextBody"/>
        <w:bidi w:val="0"/>
        <w:spacing w:before="12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TD Cowen </w:t>
      </w:r>
    </w:p>
    <w:p>
      <w:pPr>
        <w:pStyle w:val="TextBody"/>
        <w:bidi w:val="0"/>
        <w:spacing w:before="12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June 24,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72688/000167268826000068/absi-20251231.htm" TargetMode="External"/><Relationship Id="rId4" Type="http://schemas.openxmlformats.org/officeDocument/2006/relationships/hyperlink" Target="http://www.sec.gov/Archives/edgar/data/../../../ix?doc=/Archives/edgar/data/1672688/000167268826000068/absi-20251231.htm" TargetMode="External"/><Relationship Id="rId5" Type="http://schemas.openxmlformats.org/officeDocument/2006/relationships/hyperlink" Target="http://www.sec.gov/Archives/edgar/data/../../../ix?doc=/Archives/edgar/data/1672688/000167268826000078/absi-20260422.htm" TargetMode="External"/><Relationship Id="rId6" Type="http://schemas.openxmlformats.org/officeDocument/2006/relationships/hyperlink" Target="http://www.sec.gov/Archives/edgar/data/../../../ix?doc=/Archives/edgar/data/1672688/000167268826000088/absi-20260331.htm" TargetMode="External"/><Relationship Id="rId7" Type="http://schemas.openxmlformats.org/officeDocument/2006/relationships/hyperlink" Target="http://www.sec.gov/Archives/edgar/data/../../../ix?doc=/Archives/edgar/data/1672688/000167268826000003/absc-20260114.htm" TargetMode="External"/><Relationship Id="rId8" Type="http://schemas.openxmlformats.org/officeDocument/2006/relationships/hyperlink" Target="http://www.sec.gov/Archives/edgar/data/../../../ix?doc=/Archives/edgar/data/1672688/000167268826000047/absc-20260303.htm" TargetMode="External"/><Relationship Id="rId9" Type="http://schemas.openxmlformats.org/officeDocument/2006/relationships/hyperlink" Target="http://www.sec.gov/Archives/edgar/data/../../../ix?doc=/Archives/edgar/data/1672688/000167268826000066/absc-20260324.htm" TargetMode="External"/><Relationship Id="rId10" Type="http://schemas.openxmlformats.org/officeDocument/2006/relationships/hyperlink" Target="http://www.sec.gov/Archives/edgar/data/../../../ix?doc=/Archives/edgar/data/1672688/000167268826000086/absc-20260507.htm" TargetMode="External"/><Relationship Id="rId11" Type="http://schemas.openxmlformats.org/officeDocument/2006/relationships/hyperlink" Target="http://www.sec.gov/Archives/edgar/data/../../../ix?doc=/Archives/edgar/data/1672688/000167268826000095/absc-20260604.htm" TargetMode="External"/><Relationship Id="rId12" Type="http://schemas.openxmlformats.org/officeDocument/2006/relationships/hyperlink" Target="http://www.sec.gov/Archives/edgar/data/../../../ix?doc=/Archives/edgar/data/1672688/000167268826000118/absc-20260624.htm" TargetMode="External"/><Relationship Id="rId13" Type="http://schemas.openxmlformats.org/officeDocument/2006/relationships/hyperlink" Target="http://www.sec.gov/Archives/edgar/data/1672688/000162828021014135/absci-form8xa.htm" TargetMode="External"/><Relationship Id="rId14" Type="http://schemas.openxmlformats.org/officeDocument/2006/relationships/hyperlink" Target="http://www.sec.gov/Archives/edgar/data/1672688/000162828022006925/exhibit43-descriptionofreg.htm" TargetMode="External"/><Relationship Id="rId15" Type="http://schemas.openxmlformats.org/officeDocument/2006/relationships/image" Target="media/image1.jpeg"/><Relationship Id="rId16" Type="http://schemas.openxmlformats.org/officeDocument/2006/relationships/hyperlink" Target="http://www.sec.gov/Archives/edgar/data/../../../ix?doc=/Archives/edgar/data/0001672688/000162828025013464/absi-20241231.htm" TargetMode="External"/><Relationship Id="rId17" Type="http://schemas.openxmlformats.org/officeDocument/2006/relationships/hyperlink" Target="http://www.sec.gov/Archives/edgar/data/../../../ix?doc=/Archives/edgar/data/0001672688/000162828025025077/absi-20250331.htm" TargetMode="External"/><Relationship Id="rId18" Type="http://schemas.openxmlformats.org/officeDocument/2006/relationships/hyperlink" Target="http://www.sec.gov/Archives/edgar/data/../../../ix?doc=/Archives/edgar/data/0001672688/000162828025039938/absi-20250630.htm" TargetMode="External"/><Relationship Id="rId19" Type="http://schemas.openxmlformats.org/officeDocument/2006/relationships/hyperlink" Target="http://www.sec.gov/Archives/edgar/data/../../../ix?doc=/Archives/edgar/data/1672688/000162828025001612/absc-20250115.htm" TargetMode="External"/><Relationship Id="rId20" Type="http://schemas.openxmlformats.org/officeDocument/2006/relationships/hyperlink" Target="http://www.sec.gov/Archives/edgar/data/../../../ix?doc=/Archives/edgar/data/1672688/000162828025013455/absc-20250318.htm" TargetMode="External"/><Relationship Id="rId21" Type="http://schemas.openxmlformats.org/officeDocument/2006/relationships/hyperlink" Target="http://www.sec.gov/Archives/edgar/data/../../../ix?doc=/Archives/edgar/data/1672688/000162828025020260/absc-20250425.htm" TargetMode="External"/><Relationship Id="rId22" Type="http://schemas.openxmlformats.org/officeDocument/2006/relationships/hyperlink" Target="http://www.sec.gov/Archives/edgar/data/../../../ix?doc=/Archives/edgar/data/1672688/000162828025025075/absc-20250513.htm" TargetMode="External"/><Relationship Id="rId23" Type="http://schemas.openxmlformats.org/officeDocument/2006/relationships/hyperlink" Target="http://www.sec.gov/Archives/edgar/data/../../../ix?doc=/Archives/edgar/data/1672688/000162828025030953/absc-20250611.htm" TargetMode="External"/><Relationship Id="rId24" Type="http://schemas.openxmlformats.org/officeDocument/2006/relationships/hyperlink" Target="http://www.sec.gov/Archives/edgar/data/../../../ix?doc=/Archives/edgar/data/0001672688/000162828025034544/absc-20250707.htm" TargetMode="External"/><Relationship Id="rId25" Type="http://schemas.openxmlformats.org/officeDocument/2006/relationships/hyperlink" Target="http://www.sec.gov/Archives/edgar/data/../../../ix?doc=/Archives/edgar/data/0001672688/000119312525165466/d65613d8k.htm" TargetMode="External"/><Relationship Id="rId26" Type="http://schemas.openxmlformats.org/officeDocument/2006/relationships/hyperlink" Target="http://www.sec.gov/Archives/edgar/data/../../../ix?doc=/Archives/edgar/data/1672688/000162828025020265/absi-20250428.htm" TargetMode="External"/><Relationship Id="rId27" Type="http://schemas.openxmlformats.org/officeDocument/2006/relationships/hyperlink" Target="http://www.sec.gov/Archives/edgar/data/1672688/000162828021014135/absci-form8xa.htm" TargetMode="External"/><Relationship Id="rId28" Type="http://schemas.openxmlformats.org/officeDocument/2006/relationships/hyperlink" Target="http://www.sec.gov/Archives/edgar/data/1672688/000162828022006925/exhibit43-descriptionofreg.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29843</Words>
  <Characters>160230</Characters>
  <CharactersWithSpaces>190782</CharactersWithSpaces>
  <Paragraphs>2220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