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ABSCI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001-40646</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85-3383487</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18105 SE Mill Plain Blvd</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Vancouver, WA 98683</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(360) 949-1041</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2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ABSI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jc w:val="both"/>
        <w:ind w:left="4" w:right="120"/>
        <w:spacing w:after="0" w:line="291" w:lineRule="auto"/>
        <w:rPr>
          <w:sz w:val="20"/>
          <w:szCs w:val="20"/>
          <w:color w:val="auto"/>
        </w:rPr>
      </w:pPr>
      <w:r>
        <w:rPr>
          <w:rFonts w:ascii="Times New Roman" w:cs="Times New Roman" w:eastAsia="Times New Roman" w:hAnsi="Times New Roman"/>
          <w:sz w:val="17"/>
          <w:szCs w:val="17"/>
          <w:color w:val="auto"/>
        </w:rPr>
        <w:t>On June 24, 2026, Absci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entered into an underwriting agreement (the “</w:t>
      </w:r>
      <w:r>
        <w:rPr>
          <w:rFonts w:ascii="Times New Roman" w:cs="Times New Roman" w:eastAsia="Times New Roman" w:hAnsi="Times New Roman"/>
          <w:sz w:val="17"/>
          <w:szCs w:val="17"/>
          <w:b w:val="1"/>
          <w:bCs w:val="1"/>
          <w:i w:val="1"/>
          <w:iCs w:val="1"/>
          <w:color w:val="auto"/>
        </w:rPr>
        <w:t>Underwriting Agreement</w:t>
      </w:r>
      <w:r>
        <w:rPr>
          <w:rFonts w:ascii="Times New Roman" w:cs="Times New Roman" w:eastAsia="Times New Roman" w:hAnsi="Times New Roman"/>
          <w:sz w:val="17"/>
          <w:szCs w:val="17"/>
          <w:color w:val="auto"/>
        </w:rPr>
        <w:t>”) with Jefferies LLC, J.P. Morgan Securities LLC, TD Securities (USA) LLC and Guggenheim Securities, LLC (the “</w:t>
      </w:r>
      <w:r>
        <w:rPr>
          <w:rFonts w:ascii="Times New Roman" w:cs="Times New Roman" w:eastAsia="Times New Roman" w:hAnsi="Times New Roman"/>
          <w:sz w:val="17"/>
          <w:szCs w:val="17"/>
          <w:b w:val="1"/>
          <w:bCs w:val="1"/>
          <w:i w:val="1"/>
          <w:iCs w:val="1"/>
          <w:color w:val="auto"/>
        </w:rPr>
        <w:t>Underwriters</w:t>
      </w:r>
      <w:r>
        <w:rPr>
          <w:rFonts w:ascii="Times New Roman" w:cs="Times New Roman" w:eastAsia="Times New Roman" w:hAnsi="Times New Roman"/>
          <w:sz w:val="17"/>
          <w:szCs w:val="17"/>
          <w:color w:val="auto"/>
        </w:rPr>
        <w:t>”), relating to the issuance and sale of an aggregate of 13,495,277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of the Company’s common stock, par value $0.0001 per share, to the Underwriters (the “</w:t>
      </w:r>
      <w:r>
        <w:rPr>
          <w:rFonts w:ascii="Times New Roman" w:cs="Times New Roman" w:eastAsia="Times New Roman" w:hAnsi="Times New Roman"/>
          <w:sz w:val="17"/>
          <w:szCs w:val="17"/>
          <w:b w:val="1"/>
          <w:bCs w:val="1"/>
          <w:i w:val="1"/>
          <w:iCs w:val="1"/>
          <w:color w:val="auto"/>
        </w:rPr>
        <w:t>Offering</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Shares will be sold to the purchasers at an offering price of $7.41 per share.</w:t>
      </w:r>
    </w:p>
    <w:p>
      <w:pPr>
        <w:spacing w:after="0" w:line="225"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The offering was made pursuant to the shelf registration statement on Form S-3 (File No. 333-289541) that was filed by the Company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August 12, 2025, and declared effective by the SEC on August 22, 2025, and a related prospectus supplement. The Company expects the offering to close on June 25, 2026.</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Company estimates that the net proceeds from the Offering will be approximately $93.5 million, after deducting underwriting discounts and commissions and estimated offering expenses. The Company intends to use the net proceeds from this offering to fund the advancement of ABS-201, the Company’s AI-designed anti-PRLR antibody product candidate, across androgenetic alopecia (pattern hair loss) and endometriosis, and for working capital and other general corporate purposes.</w:t>
      </w:r>
    </w:p>
    <w:p>
      <w:pPr>
        <w:spacing w:after="0" w:line="180"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and warranties, conditions to closing, market standoff provisions, termination provisions and indemnification obligations, including for liabilities under the Securities Act of 1933, as amended. The Underwriting Agreement is filed as Exhibit 1.1 to this Current Report on Form 8-K and is incorporated herein by reference, and the foregoing description of the terms of the Underwriting Agreement is qualified in its entirety by reference to such exhibit.</w:t>
      </w:r>
    </w:p>
    <w:p>
      <w:pPr>
        <w:spacing w:after="0" w:line="180"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A copy of the opinion of Goodwin Procter LLP, relating to the validity of the Shares in connection with the offering, is filed as Exhibit 5.1 to this Current Report on Form 8-K.</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On June 24, 2026, the Company issued a press release announcing the pricing of the Offering. A copy of the press release is filed as Exhibit 99.1 to this Current Report on Form 8-K and is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7"/>
          <w:szCs w:val="17"/>
          <w:u w:val="single" w:color="auto"/>
          <w:color w:val="0000EE"/>
        </w:rPr>
        <w:t>Underwriting Agreement dated June 24, 2026.</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Goodwin Procter LLP.</w:t>
      </w:r>
    </w:p>
    <w:p>
      <w:pPr>
        <w:spacing w:after="0" w:line="12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Goodwin Procter LLP (contained in Exhibit 5.1).</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Pricing Press Release dated June 24, 2026.</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24"/>
          </w:cols>
          <w:pgMar w:left="436" w:top="293" w:right="53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Absci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McClain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Sean McClain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Founder and CEO</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ABSCI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13,495,277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June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Guggenheim Securities, LLC</w:t>
      </w:r>
    </w:p>
    <w:p>
      <w:pPr>
        <w:spacing w:after="0" w:line="196" w:lineRule="auto"/>
        <w:rPr>
          <w:sz w:val="20"/>
          <w:szCs w:val="20"/>
          <w:color w:val="auto"/>
        </w:rPr>
      </w:pPr>
      <w:r>
        <w:rPr>
          <w:rFonts w:ascii="Times New Roman" w:cs="Times New Roman" w:eastAsia="Times New Roman" w:hAnsi="Times New Roman"/>
          <w:sz w:val="18"/>
          <w:szCs w:val="18"/>
          <w:color w:val="auto"/>
        </w:rPr>
        <w:t>330 Madison Avenue,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Absci Corporation, a Delaware corporation (the “Company”), proposes to issue and sell to the several underwriters listed in Schedule 1 hereto (the “Underwriters”), for whom you are acting as representatives (the “Representatives”), an aggregate of 13,495,277 shares of common stock, par value $0.0001 per share (“Common Stock”), of the Company (the “Shares”). The shares of Common Stock of the Company to be outstanding after giving effect to the sale of the Shares are referred to herein as the “Stock”.</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Underwriters concerning the purchase and sale of the Shares, as follows:</w:t>
      </w:r>
    </w:p>
    <w:p>
      <w:pPr>
        <w:spacing w:after="0" w:line="225" w:lineRule="exact"/>
        <w:rPr>
          <w:sz w:val="20"/>
          <w:szCs w:val="20"/>
          <w:color w:val="auto"/>
        </w:rPr>
      </w:pPr>
    </w:p>
    <w:p>
      <w:pPr>
        <w:ind w:right="120" w:firstLine="436"/>
        <w:spacing w:after="0" w:line="258"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S-3 (File No. 333-289541), including a prospectus, relating to the Shares. Such registration statement, as amended at the time it became effective, including the information, if any, deemed pursuant to Rule 430A, 430B or 430C under the Securities Act to be part of the registration statement at the time of</w:t>
      </w:r>
    </w:p>
    <w:p>
      <w:pPr>
        <w:sectPr>
          <w:pgSz w:w="11900" w:h="16838" w:orient="portrait"/>
          <w:cols w:equalWidth="0" w:num="1">
            <w:col w:w="11020"/>
          </w:cols>
          <w:pgMar w:left="440" w:top="117" w:right="439" w:bottom="1440"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its effectiveness (“Rule 430 Information”), is referred to herein as the “Registration Statement;” and as used herein,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or the Prospectus shall be deemed to refer to and include the documents incorporated by reference therein pursuant to Item 12 of Form S-3 under the Securities Act, as of the effective date of the Registration Statement or the date of the Prospectus, as the case may be, and any reference to “amend”, “amendment” or “supplement” with respect to the Registration Statement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w:t>
      </w:r>
    </w:p>
    <w:p>
      <w:pPr>
        <w:spacing w:after="0" w:line="19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following information (collectively with the pricing information and other information set forth on Annex A hereto, the “Pricing Disclosure Package”): the base prospectus (including the documents incorporated by reference therein) included in the Registration Statement and each “free-writing prospectus” (as defined pursuant to Rule 405 under the Securities Act) listed on Annex A hereto.</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“Applicable Time” means 6:33 A.M., New York City time, on June 24, 2026.</w:t>
      </w:r>
    </w:p>
    <w:p>
      <w:pPr>
        <w:spacing w:after="0" w:line="225"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Shares to the several Underwriters as provided in this Agreement, and each Underwriter, on the basis of the representations, warranties and agreements set forth herein and subject to the conditions set forth herein, agrees, severally and not jointly, to purchase at a price per share of $6.9654 (the “Purchase Price”) from the Company the respective number of Shares set forth opposite such Underwriter’s name in Schedule 1 hereto.</w:t>
      </w:r>
    </w:p>
    <w:p>
      <w:pPr>
        <w:spacing w:after="0" w:line="179" w:lineRule="exact"/>
        <w:rPr>
          <w:rFonts w:ascii="Times New Roman" w:cs="Times New Roman" w:eastAsia="Times New Roman" w:hAnsi="Times New Roman"/>
          <w:sz w:val="18"/>
          <w:szCs w:val="18"/>
          <w:color w:val="auto"/>
        </w:rPr>
      </w:pPr>
    </w:p>
    <w:p>
      <w:pPr>
        <w:jc w:val="both"/>
        <w:ind w:right="220" w:firstLine="436"/>
        <w:spacing w:after="0" w:line="266"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Shares shall be made by wire transfer in immediately available funds to the account specified by the Company to the</w:t>
      </w:r>
    </w:p>
    <w:p>
      <w:pPr>
        <w:spacing w:after="0" w:line="27" w:lineRule="exact"/>
        <w:rPr>
          <w:rFonts w:ascii="Times New Roman" w:cs="Times New Roman" w:eastAsia="Times New Roman" w:hAnsi="Times New Roman"/>
          <w:sz w:val="18"/>
          <w:szCs w:val="18"/>
          <w:color w:val="auto"/>
        </w:rPr>
      </w:pPr>
    </w:p>
    <w:p>
      <w:pPr>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at the offices of Latham &amp; Watkins LLP, 505 Montgomery Street, Suite 2000, San Francisco, CA 94111, at 10:00 A.M. New York City time on June 25, 2026, or at such other time or place on the same or such other date, not later than the fifth business day thereafter, as the Representatives and the Company may agree upon in writing. The time and date of such payment for the Shares is referred to herein as the “Closing Date.”</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Payment for the Shares to be purchased on the Closing Date shall be made against delivery to the Representatives for the respective accounts of the several Underwriters of the Shares to be purchased on such date, with any transfer taxes payable in connection with the sale of such Shares duly paid by the Company. Delivery of the Shares shall be made through the facilities of The Depository Trust Company (“DTC”) unless the Representatives shall otherwise instruct.</w:t>
      </w:r>
    </w:p>
    <w:p>
      <w:pPr>
        <w:sectPr>
          <w:pgSz w:w="11900" w:h="16838" w:orient="portrait"/>
          <w:cols w:equalWidth="0" w:num="1">
            <w:col w:w="11000"/>
          </w:cols>
          <w:pgMar w:left="440" w:top="270" w:right="459" w:bottom="1440" w:gutter="0" w:footer="0" w:header="0"/>
        </w:sectPr>
      </w:pPr>
    </w:p>
    <w:bookmarkStart w:id="5" w:name="page6"/>
    <w:bookmarkEnd w:id="5"/>
    <w:p>
      <w:pPr>
        <w:ind w:left="-436" w:firstLine="436"/>
        <w:spacing w:after="0" w:line="253"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and does not constitute a recommendation, investment advice or solicitation of any action by the Underwriters.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192" w:lineRule="exact"/>
        <w:rPr>
          <w:sz w:val="20"/>
          <w:szCs w:val="20"/>
          <w:color w:val="auto"/>
        </w:rPr>
      </w:pPr>
    </w:p>
    <w:p>
      <w:pPr>
        <w:ind w:left="184" w:hanging="184"/>
        <w:spacing w:after="0"/>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Underwriter that:</w:t>
      </w:r>
    </w:p>
    <w:p>
      <w:pPr>
        <w:spacing w:after="0" w:line="115"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117" w:lineRule="exact"/>
        <w:rPr>
          <w:rFonts w:ascii="Times New Roman" w:cs="Times New Roman" w:eastAsia="Times New Roman" w:hAnsi="Times New Roman"/>
          <w:sz w:val="18"/>
          <w:szCs w:val="18"/>
          <w:color w:val="auto"/>
        </w:rPr>
      </w:pPr>
    </w:p>
    <w:p>
      <w:pPr>
        <w:ind w:left="4" w:firstLine="419"/>
        <w:spacing w:after="0" w:line="255" w:lineRule="auto"/>
        <w:tabs>
          <w:tab w:leader="none" w:pos="6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w:t>
      </w:r>
      <w:r>
        <w:rPr>
          <w:rFonts w:ascii="Times New Roman" w:cs="Times New Roman" w:eastAsia="Times New Roman" w:hAnsi="Times New Roman"/>
          <w:sz w:val="18"/>
          <w:szCs w:val="18"/>
          <w:color w:val="auto"/>
        </w:rPr>
        <w:t>. The Pricing Disclosure Package as of the Applicable Time did not, and as of the Closing Date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76"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Other than the Registration Statement and the Prospectus, the Company (including its agents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all other Issuer Free Writing Prospectuses, did not, and as of the Closing Date will not, contain any untrue statement of a material fact or omit to state a</w:t>
      </w:r>
    </w:p>
    <w:p>
      <w:pPr>
        <w:sectPr>
          <w:pgSz w:w="11900" w:h="16838" w:orient="portrait"/>
          <w:cols w:equalWidth="0" w:num="1">
            <w:col w:w="10564"/>
          </w:cols>
          <w:pgMar w:left="876" w:top="270" w:right="459" w:bottom="1440" w:gutter="0" w:footer="0" w:header="0"/>
        </w:sectPr>
      </w:pPr>
    </w:p>
    <w:bookmarkStart w:id="6" w:name="page7"/>
    <w:bookmarkEnd w:id="6"/>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such Issuer Free Writing Prospectus, it being understood and agreed that the only such information furnished by any Underwriter consists of the information described as such in Section 7(b) hereof.</w:t>
      </w:r>
    </w:p>
    <w:p>
      <w:pPr>
        <w:spacing w:after="0" w:line="73" w:lineRule="exact"/>
        <w:rPr>
          <w:sz w:val="20"/>
          <w:szCs w:val="20"/>
          <w:color w:val="auto"/>
        </w:rPr>
      </w:pPr>
    </w:p>
    <w:p>
      <w:pPr>
        <w:ind w:right="20" w:firstLine="419"/>
        <w:spacing w:after="0" w:line="315" w:lineRule="auto"/>
        <w:tabs>
          <w:tab w:leader="none" w:pos="67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Emerging Growth Company</w:t>
      </w:r>
      <w:r>
        <w:rPr>
          <w:rFonts w:ascii="Times New Roman" w:cs="Times New Roman" w:eastAsia="Times New Roman" w:hAnsi="Times New Roman"/>
          <w:sz w:val="17"/>
          <w:szCs w:val="17"/>
          <w:color w:val="auto"/>
        </w:rPr>
        <w:t>. From the time of initial filing of the Registration Statement with the Commission through the date hereof,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has been and is an “emerging growth company,” as defined in Section 2(a) of the Securities Act (an “Emerging Growth Company”).</w:t>
      </w:r>
    </w:p>
    <w:p>
      <w:pPr>
        <w:spacing w:after="0" w:line="26" w:lineRule="exact"/>
        <w:rPr>
          <w:rFonts w:ascii="Times New Roman" w:cs="Times New Roman" w:eastAsia="Times New Roman" w:hAnsi="Times New Roman"/>
          <w:sz w:val="17"/>
          <w:szCs w:val="17"/>
          <w:color w:val="auto"/>
        </w:rPr>
      </w:pPr>
    </w:p>
    <w:p>
      <w:pPr>
        <w:ind w:firstLine="419"/>
        <w:spacing w:after="0" w:line="253" w:lineRule="auto"/>
        <w:tabs>
          <w:tab w:leader="none" w:pos="6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Registration Statement has been declared effective by the Commission. No order suspending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applicable requirements of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77" w:lineRule="exact"/>
        <w:rPr>
          <w:rFonts w:ascii="Times New Roman" w:cs="Times New Roman" w:eastAsia="Times New Roman" w:hAnsi="Times New Roman"/>
          <w:sz w:val="18"/>
          <w:szCs w:val="18"/>
          <w:color w:val="auto"/>
        </w:rPr>
      </w:pPr>
    </w:p>
    <w:p>
      <w:pPr>
        <w:ind w:right="120" w:firstLine="419"/>
        <w:spacing w:after="0" w:line="273" w:lineRule="auto"/>
        <w:tabs>
          <w:tab w:leader="none" w:pos="64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Incorporated Documents</w:t>
      </w:r>
      <w:r>
        <w:rPr>
          <w:rFonts w:ascii="Times New Roman" w:cs="Times New Roman" w:eastAsia="Times New Roman" w:hAnsi="Times New Roman"/>
          <w:sz w:val="17"/>
          <w:szCs w:val="17"/>
          <w:color w:val="auto"/>
        </w:rPr>
        <w:t>. The documents incorporated by reference in the Registration Statement, the Prospectus and the Pricing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63" w:lineRule="exact"/>
        <w:rPr>
          <w:rFonts w:ascii="Times New Roman" w:cs="Times New Roman" w:eastAsia="Times New Roman" w:hAnsi="Times New Roman"/>
          <w:sz w:val="17"/>
          <w:szCs w:val="17"/>
          <w:color w:val="auto"/>
        </w:rPr>
      </w:pPr>
    </w:p>
    <w:p>
      <w:pPr>
        <w:jc w:val="both"/>
        <w:ind w:right="300" w:firstLine="419"/>
        <w:spacing w:after="0" w:line="267"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(including the related notes thereto) of the Company and its consolidated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or incorporated by reference in the Registration Statement, the Pricing Disclosure Package and the Prospectus comply in all material respects with the applicable requirements of the Securities Act and the Exchange Act, as</w:t>
      </w:r>
    </w:p>
    <w:p>
      <w:pPr>
        <w:sectPr>
          <w:pgSz w:w="11900" w:h="16838" w:orient="portrait"/>
          <w:cols w:equalWidth="0" w:num="1">
            <w:col w:w="10540"/>
          </w:cols>
          <w:pgMar w:left="880" w:top="270" w:right="479" w:bottom="1440" w:gutter="0" w:footer="0" w:header="0"/>
        </w:sectPr>
      </w:pPr>
    </w:p>
    <w:bookmarkStart w:id="7" w:name="page8"/>
    <w:bookmarkEnd w:id="7"/>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all material respects in conformity with generally accepted accounting principles (“GAAP”) in the United States applied on a consistent basis throughout the periods covered thereby, except in the case of unaudited interim financial statements, which are subject to normal year-end adjustments and do not contain certain footnotes as permitted by the applicable rules of the Commission, and any supporting schedules included or incorporated by reference in the Registration Statement present fairly, in all material respects, the information required to be stated therein; the other financial information included or incorporated by reference in the Registration Statement, the Pricing Disclosure Package and the Prospectus has been derived from the accounting records of the Company and its consolidated subsidiaries and presents fairly, in all material respects, the information shown thereby; all disclosures included or incorporated by reference in the Registration Statement, the Pricing Disclosure Package and the Prospectus regarding “non-GAAP financial measures” (as such term is defined by the rules and regulations of the Commission) comply in all material respects with Regulation G of the Exchange Act and Item 10 of Regulation S-K of the Securities Act, to the extent applicable; and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and the related notes thereto included or incorporated by reference in the Registration Statement, the Pricing Disclosure Package and the Prospectus have been prepared in accordance with the applicable requirements of the Securities Act and the Exchange Act, as applicable, and the assumptions underlying such pro forma financial information are reasonable and are set forth in the Registration Statement, the Pricing Disclosure Package and the Prospectus.</w:t>
      </w:r>
    </w:p>
    <w:p>
      <w:pPr>
        <w:spacing w:after="0" w:line="86" w:lineRule="exact"/>
        <w:rPr>
          <w:sz w:val="20"/>
          <w:szCs w:val="20"/>
          <w:color w:val="auto"/>
        </w:rPr>
      </w:pPr>
    </w:p>
    <w:p>
      <w:pPr>
        <w:ind w:left="4" w:right="20" w:firstLine="419"/>
        <w:spacing w:after="0" w:line="253" w:lineRule="auto"/>
        <w:tabs>
          <w:tab w:leader="none" w:pos="6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the date of the most recent financial statements of the Company included or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the Registration Statement, the Pricing Disclosure Package and the Prospectus and other than as disclosed in the Prospectus, (i) there has not been any change in the capital stock (other than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w:t>
      </w:r>
    </w:p>
    <w:p>
      <w:pPr>
        <w:spacing w:after="0" w:line="2" w:lineRule="exact"/>
        <w:rPr>
          <w:rFonts w:ascii="Times New Roman" w:cs="Times New Roman" w:eastAsia="Times New Roman" w:hAnsi="Times New Roman"/>
          <w:sz w:val="18"/>
          <w:szCs w:val="18"/>
          <w:color w:val="auto"/>
        </w:rPr>
      </w:pPr>
    </w:p>
    <w:p>
      <w:pPr>
        <w:ind w:left="4" w:right="100" w:hanging="4"/>
        <w:spacing w:after="0" w:line="252" w:lineRule="auto"/>
        <w:tabs>
          <w:tab w:leader="none" w:pos="2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and (iv) there has not occurred any development involving a prospective material adverse change, in the condition, financial or otherwise, or in the earnings, business or operations of the Company and its subsidiaries taken as a whole.</w:t>
      </w:r>
    </w:p>
    <w:p>
      <w:pPr>
        <w:sectPr>
          <w:pgSz w:w="11900" w:h="16838" w:orient="portrait"/>
          <w:cols w:equalWidth="0" w:num="1">
            <w:col w:w="10544"/>
          </w:cols>
          <w:pgMar w:left="876" w:top="270" w:right="479" w:bottom="1440" w:gutter="0" w:footer="0" w:header="0"/>
        </w:sectPr>
      </w:pPr>
    </w:p>
    <w:bookmarkStart w:id="8" w:name="page9"/>
    <w:bookmarkEnd w:id="8"/>
    <w:p>
      <w:pPr>
        <w:ind w:left="-419" w:right="80" w:firstLine="419"/>
        <w:spacing w:after="0" w:line="254" w:lineRule="auto"/>
        <w:tabs>
          <w:tab w:leader="none" w:pos="2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Organization and Good Standing. </w:t>
      </w:r>
      <w:r>
        <w:rPr>
          <w:rFonts w:ascii="Times New Roman" w:cs="Times New Roman" w:eastAsia="Times New Roman" w:hAnsi="Times New Roman"/>
          <w:sz w:val="18"/>
          <w:szCs w:val="18"/>
          <w:color w:val="auto"/>
        </w:rPr>
        <w:t>The Company and each of its subsidiaries have been duly organized and are validly existing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Company does not own or control, directly or indirectly, any corporation, association or other entity other than the subsidiaries listed in Exhibit 21.1 to the Company’s most recent Annual Report on Form 10-K for the fiscal year ended December 31, 2025.</w:t>
      </w:r>
    </w:p>
    <w:p>
      <w:pPr>
        <w:spacing w:after="0" w:line="80" w:lineRule="exact"/>
        <w:rPr>
          <w:rFonts w:ascii="Times New Roman" w:cs="Times New Roman" w:eastAsia="Times New Roman" w:hAnsi="Times New Roman"/>
          <w:sz w:val="18"/>
          <w:szCs w:val="18"/>
          <w:color w:val="auto"/>
        </w:rPr>
      </w:pPr>
    </w:p>
    <w:p>
      <w:pPr>
        <w:ind w:left="-419" w:firstLine="419"/>
        <w:spacing w:after="0" w:line="269" w:lineRule="auto"/>
        <w:tabs>
          <w:tab w:leader="none" w:pos="21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Capitalization. </w:t>
      </w:r>
      <w:r>
        <w:rPr>
          <w:rFonts w:ascii="Times New Roman" w:cs="Times New Roman" w:eastAsia="Times New Roman" w:hAnsi="Times New Roman"/>
          <w:sz w:val="17"/>
          <w:szCs w:val="17"/>
          <w:color w:val="auto"/>
        </w:rPr>
        <w:t>The Company has an authorized capitalization as set forth in the Registration Statement, the Pricing Disclosure Package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Prospectus under the heading “Capitalization”; all the outstanding shares of capital stock of the Company have been duly and validly authorized and issued and are fully paid and non-assessable and are not subject to any pre-emptive or similar rights that have not been duly waived or satisfied; except as described in or expressly contemplated by the Registration Statement, the Pricing Disclosure Package and the Prospectus, there are no outstanding rights (including, without limitation, pre-emptive rights that have not been duly waived or satisfied),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70" w:lineRule="exact"/>
        <w:rPr>
          <w:rFonts w:ascii="Times New Roman" w:cs="Times New Roman" w:eastAsia="Times New Roman" w:hAnsi="Times New Roman"/>
          <w:sz w:val="17"/>
          <w:szCs w:val="17"/>
          <w:color w:val="auto"/>
        </w:rPr>
      </w:pPr>
    </w:p>
    <w:p>
      <w:pPr>
        <w:ind w:left="-419" w:right="20" w:firstLine="419"/>
        <w:spacing w:after="0" w:line="253" w:lineRule="auto"/>
        <w:tabs>
          <w:tab w:leader="none" w:pos="2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With respect to the stock options (the “Stock Options”) granted pursuant to the equity incentive or other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plans of the Company and its subsidiaries (collectively, the “Company Equity Plans”), (i) each Stock Option intended to qualify as an “incentive stock option” under Section 422 of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Equity Plans, any applicable provisions of the Exchange Act and all other applicable laws and regulatory rules or requirements, including the applicable rules of the Nasdaq Global Select Market (the “Nasdaq Market”) in all material respects, and (iv) each such grant was properly accounted for in accordance with GAAP in the financial statements (including the related notes) of the Company in all material respects.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ectPr>
          <w:pgSz w:w="11900" w:h="16838" w:orient="portrait"/>
          <w:cols w:equalWidth="0" w:num="1">
            <w:col w:w="10141"/>
          </w:cols>
          <w:pgMar w:left="1299" w:top="268" w:right="459" w:bottom="1440" w:gutter="0" w:footer="0" w:header="0"/>
        </w:sectPr>
      </w:pPr>
    </w:p>
    <w:bookmarkStart w:id="9" w:name="page10"/>
    <w:bookmarkEnd w:id="9"/>
    <w:p>
      <w:pPr>
        <w:ind w:right="40" w:firstLine="419"/>
        <w:spacing w:after="0" w:line="267" w:lineRule="auto"/>
        <w:tabs>
          <w:tab w:leader="none" w:pos="6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Due Authorization. </w:t>
      </w:r>
      <w:r>
        <w:rPr>
          <w:rFonts w:ascii="Times New Roman" w:cs="Times New Roman" w:eastAsia="Times New Roman" w:hAnsi="Times New Roman"/>
          <w:sz w:val="18"/>
          <w:szCs w:val="18"/>
          <w:color w:val="auto"/>
        </w:rPr>
        <w:t>The Company has full right, power and authority to execute and deliver this Agreement and to perform its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and all action required to be taken for the due and proper authorization, execution and delivery by it of this Agreement and the consummation by it of the transactions contemplated hereby has been duly and validly taken.</w:t>
      </w:r>
    </w:p>
    <w:p>
      <w:pPr>
        <w:spacing w:after="0" w:line="65"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Shares. </w:t>
      </w:r>
      <w:r>
        <w:rPr>
          <w:rFonts w:ascii="Times New Roman" w:cs="Times New Roman" w:eastAsia="Times New Roman" w:hAnsi="Times New Roman"/>
          <w:sz w:val="18"/>
          <w:szCs w:val="18"/>
          <w:color w:val="auto"/>
        </w:rPr>
        <w:t>The Shares to be issued and sold by the Company hereunder have been duly authorized by the Company and, when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and paid for as 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w:t>
      </w:r>
    </w:p>
    <w:p>
      <w:pPr>
        <w:spacing w:after="0" w:line="71" w:lineRule="exact"/>
        <w:rPr>
          <w:rFonts w:ascii="Times New Roman" w:cs="Times New Roman" w:eastAsia="Times New Roman" w:hAnsi="Times New Roman"/>
          <w:sz w:val="18"/>
          <w:szCs w:val="18"/>
          <w:color w:val="auto"/>
        </w:rPr>
      </w:pPr>
    </w:p>
    <w:p>
      <w:pPr>
        <w:ind w:right="260" w:firstLine="419"/>
        <w:spacing w:after="0" w:line="284"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Descriptions of the Underwriting Agreement</w:t>
      </w:r>
      <w:r>
        <w:rPr>
          <w:rFonts w:ascii="Times New Roman" w:cs="Times New Roman" w:eastAsia="Times New Roman" w:hAnsi="Times New Roman"/>
          <w:sz w:val="18"/>
          <w:szCs w:val="18"/>
          <w:color w:val="auto"/>
        </w:rPr>
        <w:t>. This Agreement conforms in all material respects to the description thereof contained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Statement, the Pricing Disclosure Package and the Prospectus.</w:t>
      </w:r>
    </w:p>
    <w:p>
      <w:pPr>
        <w:spacing w:after="0" w:line="5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w:t>
      </w:r>
    </w:p>
    <w:p>
      <w:pPr>
        <w:spacing w:after="0" w:line="29" w:lineRule="exact"/>
        <w:rPr>
          <w:rFonts w:ascii="Times New Roman" w:cs="Times New Roman" w:eastAsia="Times New Roman" w:hAnsi="Times New Roman"/>
          <w:sz w:val="18"/>
          <w:szCs w:val="18"/>
          <w:color w:val="auto"/>
        </w:rPr>
      </w:pP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applicable law or statute or any judgment, order, rule or regulation of any court or arbitrator or governmental or regulatory authority having jurisdiction over the Company, except, in the case of clauses (ii) and (iii) above, for any such default or violation that would not, individually or in the aggregate, have a Material Adverse Effect.</w:t>
      </w:r>
    </w:p>
    <w:p>
      <w:pPr>
        <w:spacing w:after="0" w:line="78"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its obligations under this Agreement, the issuance and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and the consummation by the Company of the 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applicable law or statute or any judgment, order, rule or regulation of any court or arbitrator or governmental or regulatory authority having jurisdiction over the Company, except, in the case of clauses (i) and (iii) above, for any such conflict, breach, violation, default, lien, charge or encumbrance that would not, individually or in the aggregate, have a Material Adverse Effect.</w:t>
      </w:r>
    </w:p>
    <w:p>
      <w:pPr>
        <w:sectPr>
          <w:pgSz w:w="11900" w:h="16838" w:orient="portrait"/>
          <w:cols w:equalWidth="0" w:num="1">
            <w:col w:w="10580"/>
          </w:cols>
          <w:pgMar w:left="880" w:top="268" w:right="439" w:bottom="1440" w:gutter="0" w:footer="0" w:header="0"/>
        </w:sectPr>
      </w:pPr>
    </w:p>
    <w:bookmarkStart w:id="10" w:name="page11"/>
    <w:bookmarkEnd w:id="10"/>
    <w:p>
      <w:pPr>
        <w:ind w:left="-419" w:right="40" w:firstLine="419"/>
        <w:spacing w:after="0" w:line="257" w:lineRule="auto"/>
        <w:tabs>
          <w:tab w:leader="none" w:pos="2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Consents Required. </w:t>
      </w:r>
      <w:r>
        <w:rPr>
          <w:rFonts w:ascii="Times New Roman" w:cs="Times New Roman" w:eastAsia="Times New Roman" w:hAnsi="Times New Roman"/>
          <w:sz w:val="18"/>
          <w:szCs w:val="18"/>
          <w:color w:val="auto"/>
        </w:rPr>
        <w:t>No consent, approval, authorization, order,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Company of this Agreement, the issuance and sale of the Shares and the consummation by the Company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the Nasdaq Market, and under applicable state securities laws in connection with the purchase and distribution of the Shares by the Underwriters.</w:t>
      </w:r>
    </w:p>
    <w:p>
      <w:pPr>
        <w:spacing w:after="0" w:line="74" w:lineRule="exact"/>
        <w:rPr>
          <w:rFonts w:ascii="Times New Roman" w:cs="Times New Roman" w:eastAsia="Times New Roman" w:hAnsi="Times New Roman"/>
          <w:sz w:val="18"/>
          <w:szCs w:val="18"/>
          <w:color w:val="auto"/>
        </w:rPr>
      </w:pPr>
    </w:p>
    <w:p>
      <w:pPr>
        <w:ind w:left="-419" w:firstLine="419"/>
        <w:spacing w:after="0" w:line="253" w:lineRule="auto"/>
        <w:tabs>
          <w:tab w:leader="none" w:pos="2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the Registration Statement, the Pricing Disclosure Package and the Prospectus, there are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governmental or regulatory investigations, actions, demands, claims, suits, arbitrations, inquiries or proceedings (collectively, “Actions”) pending to which the Company or any of its subsidiaries is or may be a party or to which any property of the Company or any of its subsidiaries is or may be the subject that, individually or in the aggregate, if determined adversely to the Company or any of its subsidiaries, would reasonably be expected to have a Material Adverse Effect; to the knowledge of the Company, no such Actions are threatened or contemplated by any governmental or regulatory authority or threatened by others that could reasonably be expected to have a Material Adverse Effect;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83" w:lineRule="exact"/>
        <w:rPr>
          <w:rFonts w:ascii="Times New Roman" w:cs="Times New Roman" w:eastAsia="Times New Roman" w:hAnsi="Times New Roman"/>
          <w:sz w:val="18"/>
          <w:szCs w:val="18"/>
          <w:color w:val="auto"/>
        </w:rPr>
      </w:pPr>
    </w:p>
    <w:p>
      <w:pPr>
        <w:ind w:left="-419" w:firstLine="419"/>
        <w:spacing w:after="0" w:line="267" w:lineRule="auto"/>
        <w:tabs>
          <w:tab w:leader="none" w:pos="2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Ernst &amp; Young LLP, who has certified certain financial statements of the Company and its subsidiaries,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65" w:lineRule="exact"/>
        <w:rPr>
          <w:rFonts w:ascii="Times New Roman" w:cs="Times New Roman" w:eastAsia="Times New Roman" w:hAnsi="Times New Roman"/>
          <w:sz w:val="18"/>
          <w:szCs w:val="18"/>
          <w:color w:val="auto"/>
        </w:rPr>
      </w:pPr>
    </w:p>
    <w:p>
      <w:pPr>
        <w:ind w:left="-419" w:right="60" w:firstLine="419"/>
        <w:spacing w:after="0" w:line="258" w:lineRule="auto"/>
        <w:tabs>
          <w:tab w:leader="none" w:pos="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The Company and its subsidiaries have good and marketable title in fee simple (in the case of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to, or have valid rights to 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w:t>
      </w:r>
    </w:p>
    <w:p>
      <w:pPr>
        <w:spacing w:after="0" w:line="75" w:lineRule="exact"/>
        <w:rPr>
          <w:rFonts w:ascii="Times New Roman" w:cs="Times New Roman" w:eastAsia="Times New Roman" w:hAnsi="Times New Roman"/>
          <w:sz w:val="18"/>
          <w:szCs w:val="18"/>
          <w:color w:val="auto"/>
        </w:rPr>
      </w:pPr>
    </w:p>
    <w:p>
      <w:pPr>
        <w:ind w:left="-419" w:right="60" w:firstLine="419"/>
        <w:spacing w:after="0" w:line="255" w:lineRule="auto"/>
        <w:tabs>
          <w:tab w:leader="none" w:pos="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(i) The Company and its subsidiaries own, possess, or have the right to use all patents, patent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trademarks, service marks, trade names, trademark registrations, service mark registrations, domain names and other source indicators, copyrights and copyrightable works, know-how (including trade secrets, data and other unpatented and/or unpatentable proprietary or confidential information, systems or procedures), software, proprietary or confidential information and all other worldwide intellectual property and proprietary rights (including all registrations, and applications for registration of, and all goodwill associated with, the foregoing) (collectively, “Intellectual Property”) used in, or, to the knowledge of the Company, necessary for, the conduct of their respective businesses as currently conducted and as proposed to be conducted in the Registration Statement, the Pricing Disclosure Package and the Prospectus which, singly or in the aggregate, if the subject of an unfavorable decision, ruling or finding, would</w:t>
      </w:r>
    </w:p>
    <w:p>
      <w:pPr>
        <w:sectPr>
          <w:pgSz w:w="11900" w:h="16838" w:orient="portrait"/>
          <w:cols w:equalWidth="0" w:num="1">
            <w:col w:w="10141"/>
          </w:cols>
          <w:pgMar w:left="1299" w:top="268" w:right="459" w:bottom="1440" w:gutter="0" w:footer="0" w:header="0"/>
        </w:sectPr>
      </w:pPr>
    </w:p>
    <w:bookmarkStart w:id="11" w:name="page12"/>
    <w:bookmarkEnd w:id="11"/>
    <w:p>
      <w:pPr>
        <w:ind w:left="4" w:right="1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be expected to have a Material Adverse Effect; (ii) to the knowledge of the Company, the Company’s and its subsidiaries’ conduct of their respective businesses as currently conducted has not infringed, misappropriated or otherwise violated any valid Intellectual Property of any person; (iii) other than in connection with proceedings with the relevant patent, trademark, or similar intellectual property offices in relevant jurisdictions (including the United States Patent and Trademark Office) in the ordinary course of prosecuting, maintaining, obtaining, or registering patent rights, trademark rights, copyrights, or other Intellectual Property of the Company or its Subsidiaries, there is no claim, action, suit, investigation or proceeding pending against, or to the knowledge of the Company, threatened against, the Company or its subsidiaries</w:t>
      </w:r>
    </w:p>
    <w:p>
      <w:pPr>
        <w:spacing w:after="0" w:line="5" w:lineRule="exact"/>
        <w:rPr>
          <w:sz w:val="20"/>
          <w:szCs w:val="20"/>
          <w:color w:val="auto"/>
        </w:rPr>
      </w:pPr>
    </w:p>
    <w:p>
      <w:pPr>
        <w:ind w:left="4" w:right="40" w:hanging="4"/>
        <w:spacing w:after="0" w:line="251" w:lineRule="auto"/>
        <w:tabs>
          <w:tab w:leader="none" w:pos="2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or challenging or seeking to deny or restrict, any rights of the Company and its subsidiaries in any Intellectual Property owned by or exclusively licensed by the Company or any of its subsidiaries, (B) challenging the ownership, validity, enforceability or scope of any Intellectual Property owned or exclusively licensed by the Company or its subsidiaries, or (C) alleging that the Company or any of its subsidiaries have infringed, misappropriated or otherwise violated any Intellectual Property of any person; (iv) to the knowledge of the Company, the Intellectual Property owned or exclusively licensed by the Company and its subsidiaries has not been infringed, misappropriated or otherwise violated by any person; (v) to the knowledge of the Company, none of the Intellectual Property owned or exclusively licensed by the Company and its subsidiaries has been adjudged invalid or unenforceable and, to the knowledge of the Company, all such Intellectual Property is valid and enforceable; and (vi) the Company and its subsidiaries have taken reasonable steps in accordance with normal industry practice to maintain the confidentiality of all Intellectual Property of the Company and its subsidiaries in the applicable countries and territories necessary to the development, manufacture, operation and sale of any products and services sold or proposed to be sold by any of the Company or its subsidiaries, the value of which to the Company and its subsidiaries is contingent upon maintaining the confidentiality thereof, and, to the knowledge of the Company, no such Intellectual Property has been disclosed other than to employees, representatives, partners, legal or financial advisors and agents of the Company, or other third parties, all of whom are bound by written or other professional or ethical obligations of confidentiality with respect thereto.</w:t>
      </w:r>
    </w:p>
    <w:p>
      <w:pPr>
        <w:spacing w:after="0" w:line="81"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72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71" w:lineRule="exact"/>
        <w:rPr>
          <w:rFonts w:ascii="Times New Roman" w:cs="Times New Roman" w:eastAsia="Times New Roman" w:hAnsi="Times New Roman"/>
          <w:sz w:val="18"/>
          <w:szCs w:val="18"/>
          <w:color w:val="auto"/>
        </w:rPr>
      </w:pPr>
    </w:p>
    <w:p>
      <w:pPr>
        <w:ind w:left="4" w:right="100" w:firstLine="419"/>
        <w:spacing w:after="0" w:line="261" w:lineRule="auto"/>
        <w:tabs>
          <w:tab w:leader="none" w:pos="68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after giving effect to the offering and sale of the Shares and the application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71" w:lineRule="exact"/>
        <w:rPr>
          <w:rFonts w:ascii="Times New Roman" w:cs="Times New Roman" w:eastAsia="Times New Roman" w:hAnsi="Times New Roman"/>
          <w:sz w:val="18"/>
          <w:szCs w:val="18"/>
          <w:color w:val="auto"/>
        </w:rPr>
      </w:pPr>
    </w:p>
    <w:p>
      <w:pPr>
        <w:ind w:left="4" w:firstLine="419"/>
        <w:spacing w:after="0" w:line="258" w:lineRule="auto"/>
        <w:tabs>
          <w:tab w:leader="none" w:pos="68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The Company and its subsidiaries have paid all federal, state, local and foreign taxes and filed all tax returns required to be paid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through the date hereof; and except as otherwise disclosed in each of the Registration Statement, the Pricing Disclosure Package and the Prospectus or except as would not reasonably be expected, individually or in the aggregate, to have a Material Adverse Effect, there is no tax deficiency that has been, or would reasonably be expected to be, asserted against the Company or any of its subsidiaries or any of their respective properties or assets.</w:t>
      </w:r>
    </w:p>
    <w:p>
      <w:pPr>
        <w:sectPr>
          <w:pgSz w:w="11900" w:h="16838" w:orient="portrait"/>
          <w:cols w:equalWidth="0" w:num="1">
            <w:col w:w="10564"/>
          </w:cols>
          <w:pgMar w:left="876" w:top="270" w:right="459" w:bottom="1440" w:gutter="0" w:footer="0" w:header="0"/>
        </w:sectPr>
      </w:pPr>
    </w:p>
    <w:bookmarkStart w:id="12" w:name="page13"/>
    <w:bookmarkEnd w:id="12"/>
    <w:p>
      <w:pPr>
        <w:ind w:left="4" w:right="40" w:firstLine="419"/>
        <w:spacing w:after="0" w:line="253" w:lineRule="auto"/>
        <w:tabs>
          <w:tab w:leader="none" w:pos="6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Licenses and Permits. </w:t>
      </w:r>
      <w:r>
        <w:rPr>
          <w:rFonts w:ascii="Times New Roman" w:cs="Times New Roman" w:eastAsia="Times New Roman" w:hAnsi="Times New Roman"/>
          <w:sz w:val="18"/>
          <w:szCs w:val="18"/>
          <w:color w:val="auto"/>
        </w:rPr>
        <w:t>The Company and its subsidiaries possess all licenses, sub-licenses, certificates, permits and other authorizations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and have made all declarations and filings with, the appropriate federal, state, local or foreign governmental or regulatory authorities (each, a “Governmental Authority”) that are necessary for the ownership or lease of their respective properties or the conduct of their respective businesses as described in each of the Registration Statement, the Pricing Disclosure Package and the Prospectus except where the failure to possess, file or declare that would not, individually or in the aggregate, reasonably be expected to have a Material Adverse Effect; and except as described in each of the Registration Statement, the Pricing Disclosure Package and the 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 The Company and its subsidiaries are, and since their incorporation have been, in compliance with all statutes, rules and regulations applicable to the ownership, testing, development, manufacture, packaging, processing, use, distribution, storage, import, export or disposal of any product manufactured or distributed by the Company or its subsidiaries, except where the failure to be in compliance would, individually or in the aggregate, reasonably be expected to have a Material Adverse Effect.</w:t>
      </w:r>
    </w:p>
    <w:p>
      <w:pPr>
        <w:spacing w:after="0" w:line="82" w:lineRule="exact"/>
        <w:rPr>
          <w:sz w:val="20"/>
          <w:szCs w:val="20"/>
          <w:color w:val="auto"/>
        </w:rPr>
      </w:pPr>
    </w:p>
    <w:p>
      <w:pPr>
        <w:ind w:left="4" w:right="60" w:firstLine="419"/>
        <w:spacing w:after="0" w:line="261" w:lineRule="auto"/>
        <w:tabs>
          <w:tab w:leader="none" w:pos="7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No labor disturbance by or dispute with employees of the Company or any of its subsidiaries exists 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the Company, is contemplated or threatened, and the Company is not aware of any existing or imminent labor disturbance by, or dispute with, the employees of any of its or its subsidiaries’ principal suppliers, contractors or customers, in each case, except as would not have a Material Adverse Effect. Neither the Company nor any of its subsidiaries is a party to any collective bargaining agreement.</w:t>
      </w:r>
    </w:p>
    <w:p>
      <w:pPr>
        <w:spacing w:after="0" w:line="71" w:lineRule="exact"/>
        <w:rPr>
          <w:rFonts w:ascii="Times New Roman" w:cs="Times New Roman" w:eastAsia="Times New Roman" w:hAnsi="Times New Roman"/>
          <w:sz w:val="18"/>
          <w:szCs w:val="18"/>
          <w:color w:val="auto"/>
        </w:rPr>
      </w:pPr>
    </w:p>
    <w:p>
      <w:pPr>
        <w:ind w:left="4" w:firstLine="419"/>
        <w:spacing w:after="0" w:line="251" w:lineRule="auto"/>
        <w:tabs>
          <w:tab w:leader="none" w:pos="7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Environmental Matters</w:t>
      </w:r>
      <w:r>
        <w:rPr>
          <w:rFonts w:ascii="Times New Roman" w:cs="Times New Roman" w:eastAsia="Times New Roman" w:hAnsi="Times New Roman"/>
          <w:sz w:val="18"/>
          <w:szCs w:val="18"/>
          <w:color w:val="auto"/>
        </w:rPr>
        <w:t>. (i) The Company and its subsidiaries (x) are in compliance with all, and have not violated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applicable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each of the Pricing Disclosure Package and the Prospectus, (x) there is no proceeding that is pending, or to the Company’s knowledge, contemplated, against the Company or any of its subsidiaries under any Environmental Laws in which a governmental entity is also a party, other than such proceeding regarding which the Company reasonably believes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would reasonably be expected to have a Material Adverse Effect, and</w:t>
      </w:r>
    </w:p>
    <w:p>
      <w:pPr>
        <w:spacing w:after="0" w:line="12"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its subsidiaries anticipates material capital expenditures relating to any Environmental Laws.</w:t>
      </w:r>
    </w:p>
    <w:p>
      <w:pPr>
        <w:sectPr>
          <w:pgSz w:w="11900" w:h="16838" w:orient="portrait"/>
          <w:cols w:equalWidth="0" w:num="1">
            <w:col w:w="10564"/>
          </w:cols>
          <w:pgMar w:left="876" w:top="268" w:right="459" w:bottom="1440" w:gutter="0" w:footer="0" w:header="0"/>
        </w:sectPr>
      </w:pPr>
    </w:p>
    <w:bookmarkStart w:id="13" w:name="page14"/>
    <w:bookmarkEnd w:id="13"/>
    <w:p>
      <w:pPr>
        <w:ind w:left="-419" w:right="20" w:firstLine="419"/>
        <w:spacing w:after="0" w:line="253"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Hazardous Materials</w:t>
      </w:r>
      <w:r>
        <w:rPr>
          <w:rFonts w:ascii="Times New Roman" w:cs="Times New Roman" w:eastAsia="Times New Roman" w:hAnsi="Times New Roman"/>
          <w:sz w:val="18"/>
          <w:szCs w:val="18"/>
          <w:color w:val="auto"/>
        </w:rPr>
        <w:t>. There has been no storage, generation, transportation, use, handling, treatment, Release or threat of Release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Hazardous Materials by, relating to or caused by the Company or the Company’s subsidiaries (or, to the knowledge of the Company, any other entity (including any predecessor) for whose acts or omissions the Company or any of the Company’s subsidiaries is or would reasonably be expected to be liable) at, on, under or from any property or facility now or previously owned, operated or leased by the Company or the Company’s subsidiaries, or to the knowledge of the Company, at, on, under or from any other property or facility, in material violation by the Company or its subsidiaries of any Environmental Laws or in a manner or amount or to a location that would reasonably be expected to have a Material Adverse Effect under any Environmental Law. “Hazardous Materials” means any material, chemical, substance, waste, pollutant, contaminant, compound, mixture, or constituent thereof, in any form or amount, including petroleum (including crude oil or any fraction thereof) and petroleum products, natural gas liquids, asbestos and asbestos-containing materials, naturally occurring radioactive materials, brine, and drilling mud, regulated or which can give rise to liability under any Environmental Law. “Release” means any spilling, leaking, seepage, pumping, pouring, emitting, emptying, discharging, injecting, escaping, leaching, dumping, disposing, depositing, dispersing, or migrating in, into or through the environment, or in, into, from or through any building or structure.</w:t>
      </w:r>
    </w:p>
    <w:p>
      <w:pPr>
        <w:spacing w:after="0" w:line="81" w:lineRule="exact"/>
        <w:rPr>
          <w:rFonts w:ascii="Times New Roman" w:cs="Times New Roman" w:eastAsia="Times New Roman" w:hAnsi="Times New Roman"/>
          <w:sz w:val="18"/>
          <w:szCs w:val="18"/>
          <w:color w:val="auto"/>
        </w:rPr>
      </w:pPr>
    </w:p>
    <w:p>
      <w:pPr>
        <w:ind w:left="-419" w:firstLine="419"/>
        <w:spacing w:after="0" w:line="252" w:lineRule="auto"/>
        <w:tabs>
          <w:tab w:leader="none" w:pos="3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ERISA</w:t>
      </w:r>
      <w:r>
        <w:rPr>
          <w:rFonts w:ascii="Times New Roman" w:cs="Times New Roman" w:eastAsia="Times New Roman" w:hAnsi="Times New Roman"/>
          <w:sz w:val="18"/>
          <w:szCs w:val="18"/>
          <w:color w:val="auto"/>
        </w:rPr>
        <w:t>. (i) Each employee benefit plan, within the meaning of Section 3(3) of the Employee Retirement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 (m) or (o) of the Internal Revenue Code of 1986, as amended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to the knowledge of the Company,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w:t>
      </w:r>
    </w:p>
    <w:p>
      <w:pPr>
        <w:sectPr>
          <w:pgSz w:w="11900" w:h="16838" w:orient="portrait"/>
          <w:cols w:equalWidth="0" w:num="1">
            <w:col w:w="10161"/>
          </w:cols>
          <w:pgMar w:left="1299" w:top="268" w:right="439" w:bottom="1440" w:gutter="0" w:footer="0" w:header="0"/>
        </w:sectPr>
      </w:pPr>
    </w:p>
    <w:bookmarkStart w:id="14" w:name="page15"/>
    <w:bookmarkEnd w:id="14"/>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77" w:lineRule="exact"/>
        <w:rPr>
          <w:sz w:val="20"/>
          <w:szCs w:val="20"/>
          <w:color w:val="auto"/>
        </w:rPr>
      </w:pPr>
    </w:p>
    <w:p>
      <w:pPr>
        <w:ind w:firstLine="419"/>
        <w:spacing w:after="0" w:line="256" w:lineRule="auto"/>
        <w:tabs>
          <w:tab w:leader="none" w:pos="7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and its subsidiaries maintain an effective system of “disclosure controls and procedures”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Rule 13a-15(e) of the Exchange Act) that complies with the applicable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74" w:lineRule="exact"/>
        <w:rPr>
          <w:rFonts w:ascii="Times New Roman" w:cs="Times New Roman" w:eastAsia="Times New Roman" w:hAnsi="Times New Roman"/>
          <w:sz w:val="18"/>
          <w:szCs w:val="18"/>
          <w:color w:val="auto"/>
        </w:rPr>
      </w:pPr>
    </w:p>
    <w:p>
      <w:pPr>
        <w:ind w:right="20" w:firstLine="419"/>
        <w:spacing w:after="0" w:line="252" w:lineRule="auto"/>
        <w:tabs>
          <w:tab w:leader="none" w:pos="7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and its subsidiaries maintain a system of “internal control over financial reporting”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13a-15(f) of the Exchange Act) that has been designed to comply with the requirements of the Exchange Act applicable to the Company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Based on the Company’s most recent evaluation of its internal controls over financial reporting pursuant to Rule 13a-15(c) of the Exchange Act, except as disclosed in the Registration Statement, the Pricing Disclosure Package, and the Prospectus, there are no material weaknesses in the Company’s internal controls. The Company’s auditors and the Audit Committee of the Board of Directors of the Company have been advised of: (x)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(y) any fraud, whether or not material, that involves management or other employees who have a significant role in the Company’s internal controls over financial reporting.</w:t>
      </w:r>
    </w:p>
    <w:p>
      <w:pPr>
        <w:sectPr>
          <w:pgSz w:w="11900" w:h="16838" w:orient="portrait"/>
          <w:cols w:equalWidth="0" w:num="1">
            <w:col w:w="10560"/>
          </w:cols>
          <w:pgMar w:left="880" w:top="270" w:right="459" w:bottom="1440" w:gutter="0" w:footer="0" w:header="0"/>
        </w:sectPr>
      </w:pPr>
    </w:p>
    <w:bookmarkStart w:id="15" w:name="page16"/>
    <w:bookmarkEnd w:id="15"/>
    <w:p>
      <w:pPr>
        <w:jc w:val="both"/>
        <w:ind w:left="-419" w:right="80" w:firstLine="419"/>
        <w:spacing w:after="0" w:line="267" w:lineRule="auto"/>
        <w:tabs>
          <w:tab w:leader="none" w:pos="3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eXtensible Business Reporting Language</w:t>
      </w:r>
      <w:r>
        <w:rPr>
          <w:rFonts w:ascii="Times New Roman" w:cs="Times New Roman" w:eastAsia="Times New Roman" w:hAnsi="Times New Roman"/>
          <w:sz w:val="18"/>
          <w:szCs w:val="18"/>
          <w:color w:val="auto"/>
        </w:rPr>
        <w:t>. The interactive data in eXtensible Business Reporting Language included or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the Registration Statement fairly presents the information called for in all material respects and has been prepared in accordance with the Commission’s rules and guidelines applicable thereto.</w:t>
      </w:r>
    </w:p>
    <w:p>
      <w:pPr>
        <w:spacing w:after="0" w:line="65" w:lineRule="exact"/>
        <w:rPr>
          <w:rFonts w:ascii="Times New Roman" w:cs="Times New Roman" w:eastAsia="Times New Roman" w:hAnsi="Times New Roman"/>
          <w:sz w:val="18"/>
          <w:szCs w:val="18"/>
          <w:color w:val="auto"/>
        </w:rPr>
      </w:pPr>
    </w:p>
    <w:p>
      <w:pPr>
        <w:ind w:left="-419" w:firstLine="419"/>
        <w:spacing w:after="0" w:line="256" w:lineRule="auto"/>
        <w:tabs>
          <w:tab w:leader="none" w:pos="3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and its subsidiaries have insurance covering their respective properties, operations, personnel and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74" w:lineRule="exact"/>
        <w:rPr>
          <w:rFonts w:ascii="Times New Roman" w:cs="Times New Roman" w:eastAsia="Times New Roman" w:hAnsi="Times New Roman"/>
          <w:sz w:val="18"/>
          <w:szCs w:val="18"/>
          <w:color w:val="auto"/>
        </w:rPr>
      </w:pPr>
    </w:p>
    <w:p>
      <w:pPr>
        <w:ind w:left="-419" w:firstLine="419"/>
        <w:spacing w:after="0" w:line="253" w:lineRule="auto"/>
        <w:tabs>
          <w:tab w:leader="none" w:pos="2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Data Protection. </w:t>
      </w:r>
      <w:r>
        <w:rPr>
          <w:rFonts w:ascii="Times New Roman" w:cs="Times New Roman" w:eastAsia="Times New Roman" w:hAnsi="Times New Roman"/>
          <w:sz w:val="18"/>
          <w:szCs w:val="18"/>
          <w:color w:val="auto"/>
        </w:rPr>
        <w:t>The Company and its subsidiaries’ information technology assets and equipment, computers,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networks, hardware, software, websites, applications, and databases owned or used by the Company or its subsidiaries (collectively, “IT Systems”) are adequate for, and operate as required in connection with the operation of the business of the Company and its subsidiaries as currently conducted in all material respects,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the IT Systems and data collected, used, maintained or otherwise processed, by the Company and its subsidiaries (including all personal, personally identifiable, sensitive, confidential or regulated data collected, used or processed in connection with their respective businesses (including “personal data,” “personal information,” “protected health information,” “nonpublic personal information,” or other similar terms as defined by the Data Security Obligations (as such term is defined below)) (“Personal Data”)), and, there have been no breaches, violations, outages or unauthorized uses of or accesses to the IT Systems, except for those that have been remedied without material cost or liability or the duty to notify any other person, nor any incidents under internal review or investigations relating to the same. The Company and its subsidiaries have implemented backup and disaster recovery technology consistent with industry standards and practices.</w:t>
      </w:r>
    </w:p>
    <w:p>
      <w:pPr>
        <w:spacing w:after="0" w:line="79" w:lineRule="exact"/>
        <w:rPr>
          <w:rFonts w:ascii="Times New Roman" w:cs="Times New Roman" w:eastAsia="Times New Roman" w:hAnsi="Times New Roman"/>
          <w:sz w:val="18"/>
          <w:szCs w:val="18"/>
          <w:color w:val="auto"/>
        </w:rPr>
      </w:pPr>
    </w:p>
    <w:p>
      <w:pPr>
        <w:ind w:left="-419" w:firstLine="419"/>
        <w:spacing w:after="0" w:line="253" w:lineRule="auto"/>
        <w:tabs>
          <w:tab w:leader="none" w:pos="2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Compliance</w:t>
      </w:r>
      <w:r>
        <w:rPr>
          <w:rFonts w:ascii="Times New Roman" w:cs="Times New Roman" w:eastAsia="Times New Roman" w:hAnsi="Times New Roman"/>
          <w:sz w:val="18"/>
          <w:szCs w:val="18"/>
          <w:color w:val="auto"/>
        </w:rPr>
        <w:t>. Each of the Company and its subsidiaries (i) has operated and currently operates its business in compliance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applicable Health Care Laws (as defined below) and any other applicable requirements of the U.S. Food and Drug Administration (“FDA”), the U.S. Department of Health and Human Services (“HHS”) and any comparable state, local or foreign regulatory authority to which its business and operations are subject (collectively, “Regulatory Authorities”), except where the failures to so comply, whether individually or in the aggregate, would not reasonably be expected to have a Material Adverse Effect; (ii) has not received any Form FDA-483, written notice of adverse finding, warning letter, untitled letter or other written correspondence or notice from any court or arbitrator or governmental authority or Regulatory Authority alleging or asserting material non-compliance with (A) any applicable Health Care Laws or (B) any licenses, certificates, approvals, clearances, exemptions, registrations, authorizations, certificates, permits and supplements or amendments thereto required pursuant to any such applicable Health Care Laws (“Regulatory Authorizations”); (iii) possesses such valid and current Regulatory Authorizations required to conduct its business as currently conducted, and is not in violation, in any respect, of any term of any such Regulatory Authorizations, except where failures to possess or comply with the terms of such Regulatory Authorizations would not, whether individually or in the aggregate, reasonably be expected to have a Material</w:t>
      </w:r>
    </w:p>
    <w:p>
      <w:pPr>
        <w:sectPr>
          <w:pgSz w:w="11900" w:h="16838" w:orient="portrait"/>
          <w:cols w:equalWidth="0" w:num="1">
            <w:col w:w="10141"/>
          </w:cols>
          <w:pgMar w:left="1299" w:top="268" w:right="459" w:bottom="1440" w:gutter="0" w:footer="0" w:header="0"/>
        </w:sectPr>
      </w:pPr>
    </w:p>
    <w:bookmarkStart w:id="16" w:name="page17"/>
    <w:bookmarkEnd w:id="1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Adverse Effect; (iv) has not received written notice of any claim, action, suit, proceeding, hearing, enforcement, investigation, arbitration or other action from any governmental authority or Regulatory Authority or any other third party alleging that any product, operation or activity is in material violation of any Health Care Laws or Regulatory Authorizations and has no knowledge that any Regulatory Authority, governmental authority, or any other third party has threatened any such claim, litigation, arbitration, action, suit, investigation or proceeding; (v) has not received written notice that any Regulatory Authority has taken, is taking or intends to take action to limit, suspend, modify or revoke any Regulatory Authorizations and has no knowledge that any applicable Regulatory Authority is threatening such action, except for such limitations, suspensions, modifications or revocations as would not, whether individually or in the aggregate, reasonably be expected to have a Material Adverse Effect; (vi) has no knowledge of any event that has occurred which allows, or after notice or lapse of time would reasonably be expected to allow, revocation, termination, or other impairment of any Regulatory Authorization, except for such revocations, terminations or impairments as would not, whether individually or in the aggregate, reasonably be expected to have a Material Adverse Effect; (vii) has filed, obtained, maintained or submitted all reports, documents, forms, notices, applications, records, claims, submissions and supplements or amendments as required by any applicable Health Care Laws or Regulatory Authorizations and all such reports, documents, forms, notices, applications, records, claims, submissions and supplements or amendments were materially complete and correct on the date filed (or were materially corrected or supplemented by a subsequent submission) except where the failures to file, obtain, maintain, submit or correct the same would not, whether individually or in the aggregate, reasonably be expected to have a Material Adverse Effect; (viii) is not a party to or has any ongoing reporting obligations pursuant to any corporate integrity agreements, deferred or non-prosecution agreements, monitoring agreements, consent decrees, settlement orders, plans of correction or similar agreements with or imposed by any applicable Regulatory Authority; and (ix) along with its employees, officers and directors, and, to the Company’s knowledge, agents, has not been excluded, suspended or debarred from participation in any government health care program or human clinical research or, to the knowledge of the Company, is subject to a governmental inquiry, investigation, proceeding, or other similar action that could reasonably be expected to result in debarment, suspension, or exclusion. The term “Health Care Laws” means all health care laws related to the research, investigation, development, production, testing, packaging, labeling, distribution, storage, marketing, advertising, promotion, sale, export, import, use, handling, safety, efficacy, or manufacturing of pharmaceutical and biological products, including, without limitation, the Federal Food, Drug, and Cosmetic Act, 21 U.S.C. §§ 301 et seq.; the Public Health Service Act, 42 U.S.C. § 201 et seq.; the regulations promulgated pursuant to such laws; and any comparable foreign, federal, state and local laws and regulations.</w:t>
      </w:r>
    </w:p>
    <w:p>
      <w:pPr>
        <w:spacing w:after="0" w:line="94" w:lineRule="exact"/>
        <w:rPr>
          <w:sz w:val="20"/>
          <w:szCs w:val="20"/>
          <w:color w:val="auto"/>
        </w:rPr>
      </w:pPr>
    </w:p>
    <w:p>
      <w:pPr>
        <w:ind w:right="100" w:firstLine="419"/>
        <w:spacing w:after="0" w:line="254"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Studies, tests and trials. </w:t>
      </w:r>
      <w:r>
        <w:rPr>
          <w:rFonts w:ascii="Times New Roman" w:cs="Times New Roman" w:eastAsia="Times New Roman" w:hAnsi="Times New Roman"/>
          <w:sz w:val="18"/>
          <w:szCs w:val="18"/>
          <w:color w:val="auto"/>
        </w:rPr>
        <w:t>All pre-clinical and clinical (if any) studies, tests and trials conducted by or on behalf of, or sponsored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its subsidiaries, or in which the Company or its subsidiaries have participated with respect to their product candidates, including without limitation any such studies, tests and trials that are described in the Registration Statement, the Prospectus and the Pricing Disclosure Package, or the results of which are referred to in the Registration Statement, the Prospectus and the Pricing Disclosure Package, as applicable, were, and if still pending are, being conducted in all material respects in accordance with all applicable Health Care Laws, Regulatory Authorizations and any applicable rules, regulations and policies to which such studies, tests or trials are subject. The descriptions of the results from such studies, tests and trials contained in the Registration Statement, the Prospectus and the Pricing Disclosure Package are accurate in all material respects, and the Company has no knowledge of any other studies, tests or trials not described in the Registration Statement, the Prospectus and the Pricing Disclosure Package, the results of which are inconsistent with or otherwise reasonably call into question the results described or referred to in the Registration Statement, the Prospectus</w:t>
      </w:r>
    </w:p>
    <w:p>
      <w:pPr>
        <w:sectPr>
          <w:pgSz w:w="11900" w:h="16838" w:orient="portrait"/>
          <w:cols w:equalWidth="0" w:num="1">
            <w:col w:w="10500"/>
          </w:cols>
          <w:pgMar w:left="880" w:top="270" w:right="519" w:bottom="1440" w:gutter="0" w:footer="0" w:header="0"/>
        </w:sectPr>
      </w:pPr>
    </w:p>
    <w:bookmarkStart w:id="17" w:name="page18"/>
    <w:bookmarkEnd w:id="17"/>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Pricing Disclosure Package. Neither the Company nor its subsidiaries has received any written notices, correspondence or other communications from any Regulatory Authority, institutional review board or other entity having authority over the conduct of such studies, tests, or trials requiring or threatening the termination, material modification, clinical hold or suspension of any such studies, tests or trials being conducted or proposed to be conducted by or on behalf of the Company or its subsidiaries, other than ordinary course communications with respect to modifications in connection with the design and implementation of such studies, tests or trials, and, to the Company’s knowledge, there are no reasonable grounds for the same.</w:t>
      </w:r>
    </w:p>
    <w:p>
      <w:pPr>
        <w:spacing w:after="0" w:line="77" w:lineRule="exact"/>
        <w:rPr>
          <w:sz w:val="20"/>
          <w:szCs w:val="20"/>
          <w:color w:val="auto"/>
        </w:rPr>
      </w:pPr>
    </w:p>
    <w:p>
      <w:pPr>
        <w:ind w:firstLine="419"/>
        <w:spacing w:after="0" w:line="268" w:lineRule="auto"/>
        <w:tabs>
          <w:tab w:leader="none" w:pos="68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Privacy</w:t>
      </w:r>
      <w:r>
        <w:rPr>
          <w:rFonts w:ascii="Times New Roman" w:cs="Times New Roman" w:eastAsia="Times New Roman" w:hAnsi="Times New Roman"/>
          <w:sz w:val="17"/>
          <w:szCs w:val="17"/>
          <w:color w:val="auto"/>
        </w:rPr>
        <w:t>. Except as would not reasonably be expected to have a Material Adverse Effect, the Company and its subsidiaries have complied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and are in compliance with all applicable federal, state, local and foreign laws or statutes (including, without limitation, to the extent applicable, the Health Insurance Portability and Accountability Act of 1996, as amended by the Health Information Technology for Economic and Clinical Health Act, the California Consumer Privacy Act, and the European Union General Data Protection Regulation), and all applicable judgments, orders, rules and regulations of any court or arbitrator or governmental or regulatory authority, as well as applicable internal and external policies, and contractual obligations of the Company and its subsidiaries, and industry standards, each relating to the privacy and security of IT Systems and the collection, use, transfer, import, export, storage, disposal, disclosure, or other processing of Personal Data and to the protection of such IT Systems and Personal Data from unauthorized use, access, misappropriation or modification (“Data Security Obligations”). Neither the Company nor its subsidiaries have received any notification of or complaint regarding non-compliance with any Data Security Obligation. During the past three (3) years there has not been, and there currently is no pending, or to the knowledge of the Company, threatened, action, suit, investigation or proceeding by or before any court or governmental agency, authority or body alleging non-compliance with any Data Security Obligation. There has been no unauthorized access to or processing of Personal Data collected, used or processed in connection with the Company or its subsidiaries’ businesses. The Company and its subsidiaries have made all disclosures to users or customers required by applicable laws and regulatory rules or requirements, and no such disclosures have been inaccurate or in violation of any applicable laws or regulatory rules and requirements, except as would not reasonably be expected, individually or in the aggregate, to have a Material Adverse Effect.</w:t>
      </w:r>
    </w:p>
    <w:p>
      <w:pPr>
        <w:spacing w:after="0" w:line="73" w:lineRule="exact"/>
        <w:rPr>
          <w:rFonts w:ascii="Times New Roman" w:cs="Times New Roman" w:eastAsia="Times New Roman" w:hAnsi="Times New Roman"/>
          <w:sz w:val="17"/>
          <w:szCs w:val="17"/>
          <w:color w:val="auto"/>
        </w:rPr>
      </w:pPr>
    </w:p>
    <w:p>
      <w:pPr>
        <w:ind w:right="40" w:firstLine="419"/>
        <w:spacing w:after="0" w:line="253" w:lineRule="auto"/>
        <w:tabs>
          <w:tab w:leader="none" w:pos="8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Except as would not reasonably be expected to have a Material Adverse Effect, (i) the Company and its subsidiaries use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used any and all software and other materials distributed under a “free,” “open source,” or similar licensing model (including but not limited to the MIT License, Apache License, GNU General Public License, GNU Lesser General Public License and GNU Affero General Public License) (“Open Source Software”) in compliance with all license terms applicable to such Open Source Software; (ii) neither the Company nor its subsidiaries use or distribute or have used or distributed any Open Source Software in any manner that, to the knowledge of the Company, requires or has required (A) the Company or its subsidiaries to permit reverse engineering of any software code or other technology owned by the Company or its subsidiaries or (B) any software code or other technology owned by the Company or its subsidiaries to be (1) disclosed or distributed in source code form, (2) licensed for the purpose of making derivative works or (3) redistributed at no charge; and (iii) neither the Company nor its subsidiaries has deposited, nor could be required to deposit, into escrow the source code of any of its software and no such source code has been released to any third party, or is entitled to be released to any third party, by any escrow agent, and the consummation of the transactions contemplated by this Agreement will not trigger the release of any such source code.</w:t>
      </w:r>
    </w:p>
    <w:p>
      <w:pPr>
        <w:sectPr>
          <w:pgSz w:w="11900" w:h="16838" w:orient="portrait"/>
          <w:cols w:equalWidth="0" w:num="1">
            <w:col w:w="10560"/>
          </w:cols>
          <w:pgMar w:left="880" w:top="270" w:right="459" w:bottom="1440" w:gutter="0" w:footer="0" w:header="0"/>
        </w:sectPr>
      </w:pPr>
    </w:p>
    <w:bookmarkStart w:id="18" w:name="page19"/>
    <w:bookmarkEnd w:id="18"/>
    <w:p>
      <w:pPr>
        <w:ind w:left="-419" w:firstLine="419"/>
        <w:spacing w:after="0" w:line="252" w:lineRule="auto"/>
        <w:tabs>
          <w:tab w:leader="none" w:pos="3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anti-bribery or anti-corruption laws.</w:t>
      </w:r>
    </w:p>
    <w:p>
      <w:pPr>
        <w:spacing w:after="0" w:line="87" w:lineRule="exact"/>
        <w:rPr>
          <w:rFonts w:ascii="Times New Roman" w:cs="Times New Roman" w:eastAsia="Times New Roman" w:hAnsi="Times New Roman"/>
          <w:sz w:val="18"/>
          <w:szCs w:val="18"/>
          <w:color w:val="auto"/>
        </w:rPr>
      </w:pPr>
    </w:p>
    <w:p>
      <w:pPr>
        <w:ind w:left="-419" w:right="40" w:firstLine="419"/>
        <w:spacing w:after="0" w:line="256" w:lineRule="auto"/>
        <w:tabs>
          <w:tab w:leader="none" w:pos="3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The operations of the Company and its subsidiaries are and have been conducted 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or regulatory agency (collectively, the “Anti-Money Laundering Laws”) and no action, suit or proceeding by or before any court or governmental or regulatory agency, authority or body or any arbitrator involving the Company or any of its subsidiaries with respect to the Anti-Money Laundering Laws is pending or, to the knowledge of the Company, threatened.</w:t>
      </w:r>
    </w:p>
    <w:p>
      <w:pPr>
        <w:spacing w:after="0" w:line="74" w:lineRule="exact"/>
        <w:rPr>
          <w:rFonts w:ascii="Times New Roman" w:cs="Times New Roman" w:eastAsia="Times New Roman" w:hAnsi="Times New Roman"/>
          <w:sz w:val="18"/>
          <w:szCs w:val="18"/>
          <w:color w:val="auto"/>
        </w:rPr>
      </w:pPr>
    </w:p>
    <w:p>
      <w:pPr>
        <w:ind w:left="-419" w:right="120" w:firstLine="419"/>
        <w:spacing w:after="0" w:line="255" w:lineRule="auto"/>
        <w:tabs>
          <w:tab w:leader="none" w:pos="3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Outbound Investment Rules. </w:t>
      </w:r>
      <w:r>
        <w:rPr>
          <w:rFonts w:ascii="Times New Roman" w:cs="Times New Roman" w:eastAsia="Times New Roman" w:hAnsi="Times New Roman"/>
          <w:sz w:val="18"/>
          <w:szCs w:val="18"/>
          <w:color w:val="auto"/>
        </w:rPr>
        <w:t>Neither the Company nor any of its subsidiaries (i) is a “covered foreign person” within the meaning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final rules implementing Executive Order 14105 of August 9, 2023, “Addressing United States Investments in Certain National Security Technologies and Products in Countries of Concern” (the “Outbound Order”), promulgated by U.S. Department of Treasury’s Office of Investment Security, (ii) is currently engaged in, or has plans to engage in, one or more of the activities identified in the definitions of “notifiable transaction” or “prohibited transaction” under 31 C.F.R. Part 850 and (iii) is currently holding or has plans to hold, directly or indirectly, a board seat on, a voting or equity interest in, or any contractual power to direct or cause the direction of the management or policies of a “person of a country of concern” (as identified in the Outbound Order) that engages in one or more activities identified in the definitions of “notifiable transaction” or “prohibited transaction” under 31 C.F.R. Part 850.</w:t>
      </w:r>
    </w:p>
    <w:p>
      <w:pPr>
        <w:sectPr>
          <w:pgSz w:w="11900" w:h="16838" w:orient="portrait"/>
          <w:cols w:equalWidth="0" w:num="1">
            <w:col w:w="10141"/>
          </w:cols>
          <w:pgMar w:left="1299" w:top="268" w:right="459" w:bottom="1440" w:gutter="0" w:footer="0" w:header="0"/>
        </w:sectPr>
      </w:pPr>
    </w:p>
    <w:bookmarkStart w:id="19" w:name="page20"/>
    <w:bookmarkEnd w:id="19"/>
    <w:p>
      <w:pPr>
        <w:ind w:left="4" w:firstLine="419"/>
        <w:spacing w:after="0" w:line="252" w:lineRule="auto"/>
        <w:tabs>
          <w:tab w:leader="none" w:pos="7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Conflicts with Sanctions Laws. </w:t>
      </w:r>
      <w:r>
        <w:rPr>
          <w:rFonts w:ascii="Times New Roman" w:cs="Times New Roman" w:eastAsia="Times New Roman" w:hAnsi="Times New Roman"/>
          <w:sz w:val="18"/>
          <w:szCs w:val="18"/>
          <w:color w:val="auto"/>
        </w:rPr>
        <w:t>Neither the Company nor any of its subsidiaries, directors, officers, or employees, nor,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the Company, any agent, affiliate or other person associated with or acting on behalf of the Company or any of its subsidiaries is or is owned or controlled by one or more persons that are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His Majesty’s Treasury (“HMT”), the Swiss Secretariat of Economic Affairs or other relevant sanctions authority (collectively, “Sanctions”), nor is the Company or any of its subsidiaries, directors, officers, or employees, or, to the knowledge of the Company, any agent, affiliate or other person associated with or acting on behalf of the Company or any of its subsidiaries located, organized or resident, or owned or controlled by one or more persons that are located, organized or resident in a country or territory that is the subject or target of Sanctions, including, without limitation, the Crimea Region of Ukraine, the so-called Donetsk People’s Republic, the so-called Luhansk People’s Republic or any other Covered Region of Ukraine identified pursuant to Executive Order 14065, Cuba, Iran, North Korea and Syria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w:t>
      </w:r>
    </w:p>
    <w:p>
      <w:pPr>
        <w:spacing w:after="0" w:line="1" w:lineRule="exact"/>
        <w:rPr>
          <w:rFonts w:ascii="Times New Roman" w:cs="Times New Roman" w:eastAsia="Times New Roman" w:hAnsi="Times New Roman"/>
          <w:sz w:val="18"/>
          <w:szCs w:val="18"/>
          <w:color w:val="auto"/>
        </w:rPr>
      </w:pPr>
    </w:p>
    <w:p>
      <w:pPr>
        <w:ind w:left="4" w:right="60" w:hanging="4"/>
        <w:spacing w:after="0" w:line="253" w:lineRule="auto"/>
        <w:tabs>
          <w:tab w:leader="none" w:pos="2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ten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78" w:lineRule="exact"/>
        <w:rPr>
          <w:rFonts w:ascii="Times New Roman" w:cs="Times New Roman" w:eastAsia="Times New Roman" w:hAnsi="Times New Roman"/>
          <w:sz w:val="18"/>
          <w:szCs w:val="18"/>
          <w:color w:val="auto"/>
        </w:rPr>
      </w:pPr>
    </w:p>
    <w:p>
      <w:pPr>
        <w:ind w:left="4" w:right="280" w:firstLine="419"/>
        <w:spacing w:after="0" w:line="261" w:lineRule="auto"/>
        <w:tabs>
          <w:tab w:leader="none" w:pos="71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71" w:lineRule="exact"/>
        <w:rPr>
          <w:rFonts w:ascii="Times New Roman" w:cs="Times New Roman" w:eastAsia="Times New Roman" w:hAnsi="Times New Roman"/>
          <w:sz w:val="18"/>
          <w:szCs w:val="18"/>
          <w:color w:val="auto"/>
        </w:rPr>
      </w:pPr>
    </w:p>
    <w:p>
      <w:pPr>
        <w:jc w:val="both"/>
        <w:ind w:left="4" w:right="440" w:firstLine="419"/>
        <w:spacing w:after="0" w:line="267" w:lineRule="auto"/>
        <w:tabs>
          <w:tab w:leader="none" w:pos="7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(other than this Agreement) that would give rise to a valid claim against any of them or any Underwriter for a brokerage commission, finder’s fee or like payment in connection with the offering and sale of the Shares.</w:t>
      </w:r>
    </w:p>
    <w:p>
      <w:pPr>
        <w:spacing w:after="0" w:line="65" w:lineRule="exact"/>
        <w:rPr>
          <w:rFonts w:ascii="Times New Roman" w:cs="Times New Roman" w:eastAsia="Times New Roman" w:hAnsi="Times New Roman"/>
          <w:sz w:val="18"/>
          <w:szCs w:val="18"/>
          <w:color w:val="auto"/>
        </w:rPr>
      </w:pPr>
    </w:p>
    <w:p>
      <w:pPr>
        <w:ind w:left="4" w:firstLine="419"/>
        <w:spacing w:after="0" w:line="267" w:lineRule="auto"/>
        <w:tabs>
          <w:tab w:leader="none" w:pos="69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No person has the right to require the Company or any of its subsidiaries to register any securities for sale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by reason of the filing of the Registration Statement with the Commission or the issuance and sale of the Shares, except for such rights as have been duly waived.</w:t>
      </w:r>
    </w:p>
    <w:p>
      <w:pPr>
        <w:spacing w:after="0" w:line="65" w:lineRule="exact"/>
        <w:rPr>
          <w:rFonts w:ascii="Times New Roman" w:cs="Times New Roman" w:eastAsia="Times New Roman" w:hAnsi="Times New Roman"/>
          <w:sz w:val="18"/>
          <w:szCs w:val="18"/>
          <w:color w:val="auto"/>
        </w:rPr>
      </w:pPr>
    </w:p>
    <w:p>
      <w:pPr>
        <w:jc w:val="both"/>
        <w:ind w:left="4" w:right="40" w:firstLine="419"/>
        <w:spacing w:after="0" w:line="267" w:lineRule="auto"/>
        <w:tabs>
          <w:tab w:leader="none" w:pos="7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any of its subsidiaries or, to the Company’s knowledge, other affiliates has taken,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without giving effect to activities by the Underwriters, any action designed to or that would reasonably be expected to cause or result in any stabilization or manipulation of the price of the Shares.</w:t>
      </w:r>
    </w:p>
    <w:p>
      <w:pPr>
        <w:sectPr>
          <w:pgSz w:w="11900" w:h="16838" w:orient="portrait"/>
          <w:cols w:equalWidth="0" w:num="1">
            <w:col w:w="10564"/>
          </w:cols>
          <w:pgMar w:left="876" w:top="268" w:right="459" w:bottom="1440" w:gutter="0" w:footer="0" w:header="0"/>
        </w:sectPr>
      </w:pPr>
    </w:p>
    <w:bookmarkStart w:id="20" w:name="page21"/>
    <w:bookmarkEnd w:id="20"/>
    <w:p>
      <w:pPr>
        <w:ind w:left="4" w:right="20" w:firstLine="419"/>
        <w:spacing w:after="0" w:line="267" w:lineRule="auto"/>
        <w:tabs>
          <w:tab w:leader="none" w:pos="7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Margin Rules</w:t>
      </w:r>
      <w:r>
        <w:rPr>
          <w:rFonts w:ascii="Times New Roman" w:cs="Times New Roman" w:eastAsia="Times New Roman" w:hAnsi="Times New Roman"/>
          <w:sz w:val="18"/>
          <w:szCs w:val="18"/>
          <w:color w:val="auto"/>
        </w:rPr>
        <w:t>. Neither the issuance, sale and delivery of the Shares nor the application of the proceeds thereof by the Company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each of the Registration Statement, the Pricing Disclosure Package and the Prospectus will violate Regulation T, U, or X of the Board of Governors of the Federal Reserve System or any other regulation of such Board of Governors.</w:t>
      </w:r>
    </w:p>
    <w:p>
      <w:pPr>
        <w:spacing w:after="0" w:line="65" w:lineRule="exact"/>
        <w:rPr>
          <w:rFonts w:ascii="Times New Roman" w:cs="Times New Roman" w:eastAsia="Times New Roman" w:hAnsi="Times New Roman"/>
          <w:sz w:val="18"/>
          <w:szCs w:val="18"/>
          <w:color w:val="auto"/>
        </w:rPr>
      </w:pPr>
    </w:p>
    <w:p>
      <w:pPr>
        <w:ind w:left="844" w:hanging="421"/>
        <w:spacing w:after="0"/>
        <w:tabs>
          <w:tab w:leader="none" w:pos="8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w:t>
      </w:r>
    </w:p>
    <w:p>
      <w:pPr>
        <w:spacing w:after="0" w:line="29" w:lineRule="exact"/>
        <w:rPr>
          <w:sz w:val="20"/>
          <w:szCs w:val="20"/>
          <w:color w:val="auto"/>
        </w:rPr>
      </w:pPr>
    </w:p>
    <w:p>
      <w:pPr>
        <w:ind w:left="4" w:right="200"/>
        <w:spacing w:after="0" w:line="260" w:lineRule="auto"/>
        <w:rPr>
          <w:sz w:val="20"/>
          <w:szCs w:val="20"/>
          <w:color w:val="auto"/>
        </w:rPr>
      </w:pPr>
      <w:r>
        <w:rPr>
          <w:rFonts w:ascii="Times New Roman" w:cs="Times New Roman" w:eastAsia="Times New Roman" w:hAnsi="Times New Roman"/>
          <w:sz w:val="18"/>
          <w:szCs w:val="18"/>
          <w:color w:val="auto"/>
        </w:rPr>
        <w:t>Section 21E of 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71" w:lineRule="exact"/>
        <w:rPr>
          <w:sz w:val="20"/>
          <w:szCs w:val="20"/>
          <w:color w:val="auto"/>
        </w:rPr>
      </w:pPr>
    </w:p>
    <w:p>
      <w:pPr>
        <w:ind w:left="4" w:right="40" w:firstLine="419"/>
        <w:spacing w:after="0" w:line="267" w:lineRule="auto"/>
        <w:tabs>
          <w:tab w:leader="none" w:pos="7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statistical and market-related data included or incorporated by reference in each of the Registration Statement, the Pricing Disclosure Package and the Prospectus is not based on or derived from sources that are reliable and accurate in all material respects.</w:t>
      </w:r>
    </w:p>
    <w:p>
      <w:pPr>
        <w:spacing w:after="0" w:line="65"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7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any of the Company’s directors or officers,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capacities as such, to comply with any applicable provision of the Sarbanes-Oxley Act of 2002, as amended and the rules and regulations promulgated in connection therewith (the “Sarbanes-Oxley Act”), including Section 402 related to loans and Sections 302 and 906 related to certifications.</w:t>
      </w:r>
    </w:p>
    <w:p>
      <w:pPr>
        <w:spacing w:after="0" w:line="71" w:lineRule="exact"/>
        <w:rPr>
          <w:rFonts w:ascii="Times New Roman" w:cs="Times New Roman" w:eastAsia="Times New Roman" w:hAnsi="Times New Roman"/>
          <w:sz w:val="18"/>
          <w:szCs w:val="18"/>
          <w:color w:val="auto"/>
        </w:rPr>
      </w:pPr>
    </w:p>
    <w:p>
      <w:pPr>
        <w:ind w:left="4" w:firstLine="419"/>
        <w:spacing w:after="0" w:line="258" w:lineRule="auto"/>
        <w:tabs>
          <w:tab w:leader="none" w:pos="7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At the time of filing the Registration Statement and any post-effective amendment thereto, at the earliest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thereafter that the Company or any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Shares and at the date hereof, the Company was not and is not an “ineligible issuer,”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75" w:lineRule="exact"/>
        <w:rPr>
          <w:sz w:val="20"/>
          <w:szCs w:val="20"/>
          <w:color w:val="auto"/>
        </w:rPr>
      </w:pPr>
    </w:p>
    <w:p>
      <w:pPr>
        <w:jc w:val="both"/>
        <w:ind w:left="4" w:right="360" w:firstLine="419"/>
        <w:spacing w:after="0" w:line="267" w:lineRule="auto"/>
        <w:tabs>
          <w:tab w:leader="none" w:pos="8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Ratings</w:t>
      </w:r>
      <w:r>
        <w:rPr>
          <w:rFonts w:ascii="Times New Roman" w:cs="Times New Roman" w:eastAsia="Times New Roman" w:hAnsi="Times New Roman"/>
          <w:sz w:val="18"/>
          <w:szCs w:val="18"/>
          <w:color w:val="auto"/>
        </w:rPr>
        <w:t>. There are (and prior to the Closing Date, will be) no debt securities, convertible securities or preferred stock issued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guaranteed by the Company or any of its subsidiaries that are rated by a “nationally recognized statistical rating organization”, as such term is defined in Section 3(a)(62) under the Exchange Act.</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rFonts w:ascii="Times New Roman" w:cs="Times New Roman" w:eastAsia="Times New Roman" w:hAnsi="Times New Roman"/>
          <w:sz w:val="18"/>
          <w:szCs w:val="18"/>
          <w:color w:val="auto"/>
        </w:rPr>
      </w:pPr>
    </w:p>
    <w:p>
      <w:pPr>
        <w:ind w:left="4" w:right="40" w:firstLine="419"/>
        <w:spacing w:after="0" w:line="255" w:lineRule="auto"/>
        <w:tabs>
          <w:tab w:leader="none" w:pos="6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424(b)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430A, 430B or 430C under the Securities Act,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ectPr>
          <w:pgSz w:w="11900" w:h="16838" w:orient="portrait"/>
          <w:cols w:equalWidth="0" w:num="1">
            <w:col w:w="10564"/>
          </w:cols>
          <w:pgMar w:left="876" w:top="268" w:right="459" w:bottom="1440" w:gutter="0" w:footer="0" w:header="0"/>
        </w:sectPr>
      </w:pPr>
    </w:p>
    <w:bookmarkStart w:id="21" w:name="page22"/>
    <w:bookmarkEnd w:id="21"/>
    <w:p>
      <w:pPr>
        <w:ind w:left="4" w:right="100" w:firstLine="419"/>
        <w:spacing w:after="0" w:line="258" w:lineRule="auto"/>
        <w:tabs>
          <w:tab w:leader="none" w:pos="6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Delivery of Copies. </w:t>
      </w:r>
      <w:r>
        <w:rPr>
          <w:rFonts w:ascii="Times New Roman" w:cs="Times New Roman" w:eastAsia="Times New Roman" w:hAnsi="Times New Roman"/>
          <w:sz w:val="18"/>
          <w:szCs w:val="18"/>
          <w:color w:val="auto"/>
        </w:rPr>
        <w:t>The Company will deliver, if requested, without charge, (i) to the Representatives, four signed copies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as originally filed and each amendment thereto, in each case including all exhibits and consents filed therewith; and (ii) to each Underwriter (A) a conformed copy of the Registration Statement as originally filed and each amendment thereto (without exhibits) and</w:t>
      </w:r>
    </w:p>
    <w:p>
      <w:pPr>
        <w:ind w:left="4" w:right="260" w:hanging="4"/>
        <w:spacing w:after="0" w:line="253" w:lineRule="auto"/>
        <w:tabs>
          <w:tab w:leader="none" w:pos="2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76" w:lineRule="exact"/>
        <w:rPr>
          <w:rFonts w:ascii="Times New Roman" w:cs="Times New Roman" w:eastAsia="Times New Roman" w:hAnsi="Times New Roman"/>
          <w:sz w:val="18"/>
          <w:szCs w:val="18"/>
          <w:color w:val="auto"/>
        </w:rPr>
      </w:pPr>
    </w:p>
    <w:p>
      <w:pPr>
        <w:ind w:left="4" w:right="80" w:firstLine="419"/>
        <w:spacing w:after="0" w:line="257" w:lineRule="auto"/>
        <w:tabs>
          <w:tab w:leader="none" w:pos="6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Issuer Free Writing Prospectuses. </w:t>
      </w:r>
      <w:r>
        <w:rPr>
          <w:rFonts w:ascii="Times New Roman" w:cs="Times New Roman" w:eastAsia="Times New Roman" w:hAnsi="Times New Roman"/>
          <w:sz w:val="18"/>
          <w:szCs w:val="18"/>
          <w:color w:val="auto"/>
        </w:rPr>
        <w:t>Before making, preparing, using, authorizing, approving, referring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any Issuer Free Writing Prospectus, and before filing any amendment or supplement to the Registration Statement, the Pricing Disclosure Package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74" w:lineRule="exact"/>
        <w:rPr>
          <w:rFonts w:ascii="Times New Roman" w:cs="Times New Roman" w:eastAsia="Times New Roman" w:hAnsi="Times New Roman"/>
          <w:sz w:val="18"/>
          <w:szCs w:val="18"/>
          <w:color w:val="auto"/>
        </w:rPr>
      </w:pPr>
    </w:p>
    <w:p>
      <w:pPr>
        <w:ind w:left="4" w:firstLine="419"/>
        <w:spacing w:after="0" w:line="252" w:lineRule="auto"/>
        <w:tabs>
          <w:tab w:leader="none" w:pos="6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Representatives. </w:t>
      </w:r>
      <w:r>
        <w:rPr>
          <w:rFonts w:ascii="Times New Roman" w:cs="Times New Roman" w:eastAsia="Times New Roman" w:hAnsi="Times New Roman"/>
          <w:sz w:val="18"/>
          <w:szCs w:val="18"/>
          <w:color w:val="auto"/>
        </w:rPr>
        <w:t>The Company will advise the Representatives promptly, and confirm such advice in writing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by electronic mail), (i) when any amendment to the Registration Statement has been filed or becomes effective; (ii) when any supplement to the Pricing Disclosure Package, the Prospectus or any Issuer Free Writing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or any other governmental or regulatory authority of any order suspending the effectiveness of the Registration Statement or preventing or suspending the use of any of the Pricing Disclosure Package, the Prospectus or the initiation or threatening of any proceeding for that purpose or pursuant to Section 8A of the Securities Act; (v) of the occurrence of any event or development within the Prospectus Delivery Period as a result of which the Prospectus, any of the Pricing Disclosure Package or any Issuer Free Writing Prospectus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is delivered to a purchaser, not misleading; and (vi)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of the Pricing Disclosure Package or the Prospectus or suspending any such qualification of the Shares and, if any such order is issued, will obtain as soon as possible the withdrawal thereof.</w:t>
      </w:r>
    </w:p>
    <w:p>
      <w:pPr>
        <w:sectPr>
          <w:pgSz w:w="11900" w:h="16838" w:orient="portrait"/>
          <w:cols w:equalWidth="0" w:num="1">
            <w:col w:w="10564"/>
          </w:cols>
          <w:pgMar w:left="876" w:top="268" w:right="459" w:bottom="1440" w:gutter="0" w:footer="0" w:header="0"/>
        </w:sectPr>
      </w:pPr>
    </w:p>
    <w:bookmarkStart w:id="22" w:name="page23"/>
    <w:bookmarkEnd w:id="22"/>
    <w:p>
      <w:pPr>
        <w:ind w:left="4" w:firstLine="419"/>
        <w:spacing w:after="0" w:line="252" w:lineRule="auto"/>
        <w:tabs>
          <w:tab w:leader="none" w:pos="6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83" w:lineRule="exact"/>
        <w:rPr>
          <w:rFonts w:ascii="Times New Roman" w:cs="Times New Roman" w:eastAsia="Times New Roman" w:hAnsi="Times New Roman"/>
          <w:sz w:val="18"/>
          <w:szCs w:val="18"/>
          <w:color w:val="auto"/>
        </w:rPr>
      </w:pPr>
    </w:p>
    <w:p>
      <w:pPr>
        <w:ind w:left="4" w:right="100" w:firstLine="419"/>
        <w:spacing w:after="0" w:line="271" w:lineRule="auto"/>
        <w:tabs>
          <w:tab w:leader="none" w:pos="65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Blue Sky Compliance. </w:t>
      </w:r>
      <w:r>
        <w:rPr>
          <w:rFonts w:ascii="Times New Roman" w:cs="Times New Roman" w:eastAsia="Times New Roman" w:hAnsi="Times New Roman"/>
          <w:sz w:val="17"/>
          <w:szCs w:val="17"/>
          <w:color w:val="auto"/>
        </w:rPr>
        <w:t>The Company will qualify the Shares for offer and sale under the securities or Blue Sky laws of such jurisdictions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as the Representatives shall reasonably request and will continue such qualifications in effect so long as required for distribution of the Shares;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w:t>
      </w:r>
    </w:p>
    <w:p>
      <w:pPr>
        <w:spacing w:after="0" w:line="1"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itself to taxation in any such jurisdiction if it is not otherwise so subject.</w:t>
      </w:r>
    </w:p>
    <w:p>
      <w:pPr>
        <w:spacing w:after="0" w:line="96" w:lineRule="exact"/>
        <w:rPr>
          <w:rFonts w:ascii="Times New Roman" w:cs="Times New Roman" w:eastAsia="Times New Roman" w:hAnsi="Times New Roman"/>
          <w:sz w:val="18"/>
          <w:szCs w:val="18"/>
          <w:color w:val="auto"/>
        </w:rPr>
      </w:pPr>
    </w:p>
    <w:p>
      <w:pPr>
        <w:ind w:left="4" w:right="100" w:firstLine="419"/>
        <w:spacing w:after="0" w:line="258" w:lineRule="auto"/>
        <w:tabs>
          <w:tab w:leader="none" w:pos="68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Representatives as soon as practicable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furnished such statements to its security holders and the Representatives to the extent they are filed on the Commission’s Electronic Data Gathering, Analysis and Retrieval system (“EDGAR”).</w:t>
      </w:r>
    </w:p>
    <w:p>
      <w:pPr>
        <w:spacing w:after="0" w:line="75" w:lineRule="exact"/>
        <w:rPr>
          <w:rFonts w:ascii="Times New Roman" w:cs="Times New Roman" w:eastAsia="Times New Roman" w:hAnsi="Times New Roman"/>
          <w:sz w:val="18"/>
          <w:szCs w:val="18"/>
          <w:color w:val="auto"/>
        </w:rPr>
      </w:pPr>
    </w:p>
    <w:p>
      <w:pPr>
        <w:ind w:left="4" w:right="40" w:firstLine="419"/>
        <w:spacing w:after="0" w:line="257" w:lineRule="auto"/>
        <w:tabs>
          <w:tab w:leader="none" w:pos="68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a period of 60 days after the date of the Prospectus, the Company will not (i) offer, pledge, sell, contract to sell,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or (ii) enter into any hedging, swap or other agreement that transfers, in whole or in part, any of the economic consequences of ownership of the Stock or any such other securities, or publicly disclose the intention to undertake any of the transactions described in clause (i) or (ii), whether any such transaction described in</w:t>
      </w:r>
    </w:p>
    <w:p>
      <w:pPr>
        <w:sectPr>
          <w:pgSz w:w="11900" w:h="16838" w:orient="portrait"/>
          <w:cols w:equalWidth="0" w:num="1">
            <w:col w:w="10564"/>
          </w:cols>
          <w:pgMar w:left="876" w:top="268" w:right="459" w:bottom="1440" w:gutter="0" w:footer="0" w:header="0"/>
        </w:sectPr>
      </w:pPr>
    </w:p>
    <w:bookmarkStart w:id="23" w:name="page24"/>
    <w:bookmarkEnd w:id="23"/>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clause (i) or (ii) above is to be settled by delivery of Stock or such other securities, in cash or otherwise, without the prior written consent of the Representatives, other than (A) the Shares to be sold hereunder, (B) any shares of capital stock of the Company issued upon the exercise of warrants described in the Registration Statement, the Pricing Disclosure Package and the Prospectus, (C) any shares of Stock of the Company issued upon the exercise, vesting or settlement of options or other awards granted under Company Equity Plans or pursuant to any employee stock purchase plan of the Company, in each case described in the Registration Statement, the Pricing Disclosure Package and the Prospectus, (D) any options, shares of Stock and other awards granted under a Company Equity Plan or employee stock purchase plan of the Company, in each case described in the Registration Statement, the Pricing Disclosure Package and the Prospectus, (E) the filing by the Company of any registration statement on Form S-8 or a successor form thereto relating to a Company Equity Plan or employee stock purchase plan described in the Registration Statement, the Pricing Disclosure Package and the Prospectus, (F) any shares of Stock issued in an “at-the-market” offering pursuant to that certain Sales Agreement, by and between the Company and TD Securities (USA) LLC, dated August 12, 2025, as amended from time to time and (G) the issuance of securities by the Company in connection with mergers, acquisitions or commercial or strategic transactions (including, without limitation, joint ventures, marketing or distribution arrangements, collaboration agreements or intellectual property license agreements), including any securities issuance agreement entered into in connection with the foregoing, provided that the aggregate number of shares issued pursuant to this clause (G) does not exceed 10% of the Company’s securities outstanding as of the date hereof issued by the Company; provided that the recipient of any such shares of Stock or securities issued pursuant to this clause (G) during the 60-day restricted period described above shall enter into an agreement for the remainder of the restricted period substantially in the form of Exhibit A hereto.</w:t>
      </w:r>
    </w:p>
    <w:p>
      <w:pPr>
        <w:spacing w:after="0" w:line="85" w:lineRule="exact"/>
        <w:rPr>
          <w:sz w:val="20"/>
          <w:szCs w:val="20"/>
          <w:color w:val="auto"/>
        </w:rPr>
      </w:pPr>
    </w:p>
    <w:p>
      <w:pPr>
        <w:ind w:firstLine="419"/>
        <w:spacing w:after="0" w:line="284" w:lineRule="auto"/>
        <w:tabs>
          <w:tab w:leader="none" w:pos="6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apply the net proceeds from the sale of the Shares as described in each of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Pricing Disclosure Package and the Prospectus under the heading “Use of proceeds”.</w:t>
      </w:r>
    </w:p>
    <w:p>
      <w:pPr>
        <w:spacing w:after="0" w:line="50" w:lineRule="exact"/>
        <w:rPr>
          <w:rFonts w:ascii="Times New Roman" w:cs="Times New Roman" w:eastAsia="Times New Roman" w:hAnsi="Times New Roman"/>
          <w:sz w:val="18"/>
          <w:szCs w:val="18"/>
          <w:color w:val="auto"/>
        </w:rPr>
      </w:pPr>
    </w:p>
    <w:p>
      <w:pPr>
        <w:ind w:right="160" w:firstLine="419"/>
        <w:spacing w:after="0" w:line="267" w:lineRule="auto"/>
        <w:tabs>
          <w:tab w:leader="none" w:pos="6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its subsidiaries or affiliates will take, directly or indirectly, without giving effect to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Underwriters, any action designed to or that would reasonably be expected to cause or result in any stabilization or manipulation of the price of the Stock.</w:t>
      </w:r>
    </w:p>
    <w:p>
      <w:pPr>
        <w:spacing w:after="0" w:line="6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Company will use its reasonable best efforts to list, subject to notice of issuance, the Shares on the Nasdaq</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w:t>
      </w:r>
    </w:p>
    <w:p>
      <w:pPr>
        <w:spacing w:after="0" w:line="96" w:lineRule="exact"/>
        <w:rPr>
          <w:rFonts w:ascii="Times New Roman" w:cs="Times New Roman" w:eastAsia="Times New Roman" w:hAnsi="Times New Roman"/>
          <w:sz w:val="18"/>
          <w:szCs w:val="18"/>
          <w:color w:val="auto"/>
        </w:rPr>
      </w:pPr>
    </w:p>
    <w:p>
      <w:pPr>
        <w:ind w:right="340" w:firstLine="419"/>
        <w:spacing w:after="0" w:line="258" w:lineRule="auto"/>
        <w:tabs>
          <w:tab w:leader="none" w:pos="6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During a period of three years from the date of this Agreement, the Company will furnish to the Representatives,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commercially reasonable after the date that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Representatives to the extent they are filed on EDGAR.</w:t>
      </w:r>
    </w:p>
    <w:p>
      <w:pPr>
        <w:sectPr>
          <w:pgSz w:w="11900" w:h="16838" w:orient="portrait"/>
          <w:cols w:equalWidth="0" w:num="1">
            <w:col w:w="10560"/>
          </w:cols>
          <w:pgMar w:left="880" w:top="270" w:right="459" w:bottom="1440" w:gutter="0" w:footer="0" w:header="0"/>
        </w:sectPr>
      </w:pPr>
    </w:p>
    <w:bookmarkStart w:id="24" w:name="page25"/>
    <w:bookmarkEnd w:id="24"/>
    <w:p>
      <w:pPr>
        <w:ind w:left="4" w:right="380" w:firstLine="419"/>
        <w:spacing w:after="0" w:line="284" w:lineRule="auto"/>
        <w:tabs>
          <w:tab w:leader="none" w:pos="73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Prospectus that is not filed with the Commission in accordance with Rule 433 under the Securities Act.</w:t>
      </w:r>
    </w:p>
    <w:p>
      <w:pPr>
        <w:spacing w:after="0" w:line="50" w:lineRule="exact"/>
        <w:rPr>
          <w:rFonts w:ascii="Times New Roman" w:cs="Times New Roman" w:eastAsia="Times New Roman" w:hAnsi="Times New Roman"/>
          <w:sz w:val="18"/>
          <w:szCs w:val="18"/>
          <w:color w:val="auto"/>
        </w:rPr>
      </w:pPr>
    </w:p>
    <w:p>
      <w:pPr>
        <w:ind w:left="4" w:right="40" w:firstLine="419"/>
        <w:spacing w:after="0" w:line="254" w:lineRule="auto"/>
        <w:tabs>
          <w:tab w:leader="none" w:pos="68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Shelf Renewal. </w:t>
      </w:r>
      <w:r>
        <w:rPr>
          <w:rFonts w:ascii="Times New Roman" w:cs="Times New Roman" w:eastAsia="Times New Roman" w:hAnsi="Times New Roman"/>
          <w:sz w:val="18"/>
          <w:szCs w:val="18"/>
          <w:color w:val="auto"/>
        </w:rPr>
        <w:t>If immediately prior to the third anniversary (the “Renewal Deadline”) of the initial effective date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any of the Shares remain unsold by the Underwriters, the Company will, prior to the Renewal Deadline, file, if it has not already done so and is eligible to do so, a new automatic shelf registration statement relating to the Shares, in a form satisfactory to the Representatives. If the Company is not eligible to file an automatic shelf registration statement, the Company will, prior to the Renewal Deadline, if it has not already done so, file a new shelf registration statement relating to the Shares, in a form satisfactory to the Representatives, and will use its best efforts to cause such registration statement to be declared effective within 180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spacing w:after="0" w:line="80" w:lineRule="exact"/>
        <w:rPr>
          <w:rFonts w:ascii="Times New Roman" w:cs="Times New Roman" w:eastAsia="Times New Roman" w:hAnsi="Times New Roman"/>
          <w:sz w:val="18"/>
          <w:szCs w:val="18"/>
          <w:color w:val="auto"/>
        </w:rPr>
      </w:pPr>
    </w:p>
    <w:p>
      <w:pPr>
        <w:ind w:left="4" w:right="100" w:firstLine="419"/>
        <w:spacing w:after="0" w:line="284" w:lineRule="auto"/>
        <w:tabs>
          <w:tab w:leader="none" w:pos="68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Emerging Growth Company</w:t>
      </w:r>
      <w:r>
        <w:rPr>
          <w:rFonts w:ascii="Times New Roman" w:cs="Times New Roman" w:eastAsia="Times New Roman" w:hAnsi="Times New Roman"/>
          <w:sz w:val="18"/>
          <w:szCs w:val="18"/>
          <w:color w:val="auto"/>
        </w:rPr>
        <w:t>. The Company will promptly notify the Representatives if the Company ceases to be an Emerging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at any time prior to the completion of the distribution of Shares within the meaning of the Securities Act.</w:t>
      </w:r>
    </w:p>
    <w:p>
      <w:pPr>
        <w:spacing w:after="0" w:line="160"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severally represents and agrees that:</w:t>
      </w:r>
    </w:p>
    <w:p>
      <w:pPr>
        <w:spacing w:after="0" w:line="117"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Registration Statement, the Pricing Disclosure Package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83" w:lineRule="exact"/>
        <w:rPr>
          <w:rFonts w:ascii="Times New Roman" w:cs="Times New Roman" w:eastAsia="Times New Roman" w:hAnsi="Times New Roman"/>
          <w:sz w:val="18"/>
          <w:szCs w:val="18"/>
          <w:color w:val="auto"/>
        </w:rPr>
      </w:pPr>
    </w:p>
    <w:p>
      <w:pPr>
        <w:ind w:left="4" w:firstLine="419"/>
        <w:spacing w:after="0" w:line="256" w:lineRule="auto"/>
        <w:tabs>
          <w:tab w:leader="none" w:pos="68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restrict oral communications by the Underwriters to prospective purchasers conveying the pricing terms and other information set forth on Annex A hereto;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Underwriters may use a term sheet substantially in the form of Annex B hereto without the consent of the Company;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Underwriter using such term sheet shall notify the Company, and provide a copy of such term sheet to the Company, prior to, or substantially concurrently with, the first use of such term sheet.</w:t>
      </w:r>
    </w:p>
    <w:p>
      <w:pPr>
        <w:spacing w:after="0" w:line="79" w:lineRule="exact"/>
        <w:rPr>
          <w:rFonts w:ascii="Times New Roman" w:cs="Times New Roman" w:eastAsia="Times New Roman" w:hAnsi="Times New Roman"/>
          <w:sz w:val="18"/>
          <w:szCs w:val="18"/>
          <w:color w:val="auto"/>
        </w:rPr>
      </w:pPr>
    </w:p>
    <w:p>
      <w:pPr>
        <w:ind w:left="4" w:right="100" w:firstLine="419"/>
        <w:spacing w:after="0" w:line="282" w:lineRule="auto"/>
        <w:tabs>
          <w:tab w:leader="none" w:pos="6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ectPr>
          <w:pgSz w:w="11900" w:h="16838" w:orient="portrait"/>
          <w:cols w:equalWidth="0" w:num="1">
            <w:col w:w="10504"/>
          </w:cols>
          <w:pgMar w:left="876" w:top="268" w:right="519" w:bottom="1440" w:gutter="0" w:footer="0" w:header="0"/>
        </w:sectPr>
      </w:pPr>
    </w:p>
    <w:bookmarkStart w:id="25" w:name="page26"/>
    <w:bookmarkEnd w:id="25"/>
    <w:p>
      <w:pPr>
        <w:ind w:left="-436" w:right="140" w:firstLine="436"/>
        <w:spacing w:after="0" w:line="282" w:lineRule="auto"/>
        <w:tabs>
          <w:tab w:leader="none" w:pos="1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of Underwriters’ Obligations</w:t>
      </w:r>
      <w:r>
        <w:rPr>
          <w:rFonts w:ascii="Times New Roman" w:cs="Times New Roman" w:eastAsia="Times New Roman" w:hAnsi="Times New Roman"/>
          <w:sz w:val="18"/>
          <w:szCs w:val="18"/>
          <w:color w:val="auto"/>
        </w:rPr>
        <w:t>. The obligation of each Underwriter to purchase the Shares on the Closing Date as provided herein is subject to the performance by the Company of its covenants and other obligations hereunder and to the following additional conditions:</w:t>
      </w:r>
    </w:p>
    <w:p>
      <w:pPr>
        <w:spacing w:after="0" w:line="51" w:lineRule="exact"/>
        <w:rPr>
          <w:rFonts w:ascii="Times New Roman" w:cs="Times New Roman" w:eastAsia="Times New Roman" w:hAnsi="Times New Roman"/>
          <w:sz w:val="18"/>
          <w:szCs w:val="18"/>
          <w:color w:val="auto"/>
        </w:rPr>
      </w:pPr>
    </w:p>
    <w:p>
      <w:pPr>
        <w:ind w:left="4" w:right="160" w:firstLine="419"/>
        <w:spacing w:after="0" w:line="277" w:lineRule="auto"/>
        <w:tabs>
          <w:tab w:leader="none" w:pos="671"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Registration Compliance; No Stop Order. </w:t>
      </w:r>
      <w:r>
        <w:rPr>
          <w:rFonts w:ascii="Times New Roman" w:cs="Times New Roman" w:eastAsia="Times New Roman" w:hAnsi="Times New Roman"/>
          <w:sz w:val="17"/>
          <w:szCs w:val="17"/>
          <w:color w:val="auto"/>
        </w:rPr>
        <w:t>No order suspending the effectiveness of the Registration Statement shall be in effect, and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59" w:lineRule="exact"/>
        <w:rPr>
          <w:rFonts w:ascii="Times New Roman" w:cs="Times New Roman" w:eastAsia="Times New Roman" w:hAnsi="Times New Roman"/>
          <w:sz w:val="17"/>
          <w:szCs w:val="17"/>
          <w:color w:val="auto"/>
        </w:rPr>
      </w:pPr>
    </w:p>
    <w:p>
      <w:pPr>
        <w:jc w:val="both"/>
        <w:ind w:left="4" w:right="220" w:firstLine="419"/>
        <w:spacing w:after="0" w:line="267" w:lineRule="auto"/>
        <w:tabs>
          <w:tab w:leader="none" w:pos="68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contained herein shall be true and correct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hereof and on and as of the Closing Date; and the statements of the Company and its officers made in any certificates delivered pursuant to this Agreement shall be true and correct on and as of the Closing Date.</w:t>
      </w:r>
    </w:p>
    <w:p>
      <w:pPr>
        <w:spacing w:after="0" w:line="65" w:lineRule="exact"/>
        <w:rPr>
          <w:rFonts w:ascii="Times New Roman" w:cs="Times New Roman" w:eastAsia="Times New Roman" w:hAnsi="Times New Roman"/>
          <w:sz w:val="18"/>
          <w:szCs w:val="18"/>
          <w:color w:val="auto"/>
        </w:rPr>
      </w:pPr>
    </w:p>
    <w:p>
      <w:pPr>
        <w:ind w:left="4" w:right="160" w:firstLine="419"/>
        <w:spacing w:after="0" w:line="258" w:lineRule="auto"/>
        <w:tabs>
          <w:tab w:leader="none" w:pos="67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3(h) hereof shall have occurred or shall exist,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on the terms and in the manner contemplated by this Agreement, the Pricing Disclosure Package and the Prospectus.</w:t>
      </w:r>
    </w:p>
    <w:p>
      <w:pPr>
        <w:spacing w:after="0" w:line="75" w:lineRule="exact"/>
        <w:rPr>
          <w:rFonts w:ascii="Times New Roman" w:cs="Times New Roman" w:eastAsia="Times New Roman" w:hAnsi="Times New Roman"/>
          <w:sz w:val="18"/>
          <w:szCs w:val="18"/>
          <w:color w:val="auto"/>
        </w:rPr>
      </w:pPr>
    </w:p>
    <w:p>
      <w:pPr>
        <w:ind w:left="4" w:right="140" w:firstLine="419"/>
        <w:spacing w:after="0" w:line="277" w:lineRule="auto"/>
        <w:tabs>
          <w:tab w:leader="none" w:pos="681"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Officers’ Certificate. </w:t>
      </w:r>
      <w:r>
        <w:rPr>
          <w:rFonts w:ascii="Times New Roman" w:cs="Times New Roman" w:eastAsia="Times New Roman" w:hAnsi="Times New Roman"/>
          <w:sz w:val="17"/>
          <w:szCs w:val="17"/>
          <w:color w:val="auto"/>
        </w:rPr>
        <w:t>The Representatives shall have received on and as of the Closing Date a certificate of the chief financial officer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chief accounting officer of the Company and one additional senior executive officer of the Company who is satisfactory to the Representatives</w:t>
      </w:r>
    </w:p>
    <w:p>
      <w:pPr>
        <w:spacing w:after="0" w:line="1" w:lineRule="exact"/>
        <w:rPr>
          <w:rFonts w:ascii="Times New Roman" w:cs="Times New Roman" w:eastAsia="Times New Roman" w:hAnsi="Times New Roman"/>
          <w:sz w:val="17"/>
          <w:szCs w:val="17"/>
          <w:color w:val="auto"/>
        </w:rPr>
      </w:pPr>
    </w:p>
    <w:p>
      <w:pPr>
        <w:ind w:left="4"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confirming that such officers have carefully reviewed the Registration Statement, the Pricing Disclosure Package and the Prospectus and, to the knowledge of such officers,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and (iii) to the effect set forth in paragraphs (a), (b) and (c) above.</w:t>
      </w:r>
    </w:p>
    <w:p>
      <w:pPr>
        <w:spacing w:after="0" w:line="76" w:lineRule="exact"/>
        <w:rPr>
          <w:rFonts w:ascii="Times New Roman" w:cs="Times New Roman" w:eastAsia="Times New Roman" w:hAnsi="Times New Roman"/>
          <w:sz w:val="17"/>
          <w:szCs w:val="17"/>
          <w:color w:val="auto"/>
        </w:rPr>
      </w:pPr>
    </w:p>
    <w:p>
      <w:pPr>
        <w:ind w:left="4" w:firstLine="419"/>
        <w:spacing w:after="0" w:line="257" w:lineRule="auto"/>
        <w:tabs>
          <w:tab w:leader="none" w:pos="67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Ernst &amp; Young LLP shall have furnished to the Representatives,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shall use a “cut-off” date no more than two business days prior to such Closing Date.</w:t>
      </w:r>
    </w:p>
    <w:p>
      <w:pPr>
        <w:spacing w:after="0" w:line="74" w:lineRule="exact"/>
        <w:rPr>
          <w:rFonts w:ascii="Times New Roman" w:cs="Times New Roman" w:eastAsia="Times New Roman" w:hAnsi="Times New Roman"/>
          <w:sz w:val="18"/>
          <w:szCs w:val="18"/>
          <w:color w:val="auto"/>
        </w:rPr>
      </w:pPr>
    </w:p>
    <w:p>
      <w:pPr>
        <w:ind w:left="4" w:right="80" w:firstLine="419"/>
        <w:spacing w:after="0" w:line="261" w:lineRule="auto"/>
        <w:tabs>
          <w:tab w:leader="none" w:pos="6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Certificate of Chief Financial Officer. </w:t>
      </w:r>
      <w:r>
        <w:rPr>
          <w:rFonts w:ascii="Times New Roman" w:cs="Times New Roman" w:eastAsia="Times New Roman" w:hAnsi="Times New Roman"/>
          <w:sz w:val="18"/>
          <w:szCs w:val="18"/>
          <w:color w:val="auto"/>
        </w:rPr>
        <w:t>On the date of this Agreement and on the Closing Date, the Company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sectPr>
          <w:pgSz w:w="11900" w:h="16838" w:orient="portrait"/>
          <w:cols w:equalWidth="0" w:num="1">
            <w:col w:w="10564"/>
          </w:cols>
          <w:pgMar w:left="876" w:top="270" w:right="459" w:bottom="1440" w:gutter="0" w:footer="0" w:header="0"/>
        </w:sectPr>
      </w:pPr>
    </w:p>
    <w:bookmarkStart w:id="26" w:name="page27"/>
    <w:bookmarkEnd w:id="26"/>
    <w:p>
      <w:pPr>
        <w:ind w:left="440" w:right="20" w:firstLine="419"/>
        <w:spacing w:after="0" w:line="267" w:lineRule="auto"/>
        <w:tabs>
          <w:tab w:leader="none" w:pos="11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 of Intellectual Property Counsel for the Company</w:t>
      </w:r>
      <w:r>
        <w:rPr>
          <w:rFonts w:ascii="Times New Roman" w:cs="Times New Roman" w:eastAsia="Times New Roman" w:hAnsi="Times New Roman"/>
          <w:sz w:val="18"/>
          <w:szCs w:val="18"/>
          <w:color w:val="auto"/>
        </w:rPr>
        <w:t>. Marshall, Gerstein &amp; Borun LLP, as intellectual property counsel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have furnished to the Representatives, at the request of the Company, its written opinion, dated the Closing Date, and addressed to the Underwriters, in form and substance reasonably satisfactory to the Representatives.</w:t>
      </w:r>
    </w:p>
    <w:p>
      <w:pPr>
        <w:spacing w:after="0" w:line="65" w:lineRule="exact"/>
        <w:rPr>
          <w:rFonts w:ascii="Times New Roman" w:cs="Times New Roman" w:eastAsia="Times New Roman" w:hAnsi="Times New Roman"/>
          <w:sz w:val="18"/>
          <w:szCs w:val="18"/>
          <w:color w:val="auto"/>
        </w:rPr>
      </w:pPr>
    </w:p>
    <w:p>
      <w:pPr>
        <w:ind w:left="440" w:right="140" w:firstLine="419"/>
        <w:spacing w:after="0" w:line="267" w:lineRule="auto"/>
        <w:tabs>
          <w:tab w:leader="none" w:pos="11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w:t>
      </w:r>
      <w:r>
        <w:rPr>
          <w:rFonts w:ascii="Times New Roman" w:cs="Times New Roman" w:eastAsia="Times New Roman" w:hAnsi="Times New Roman"/>
          <w:sz w:val="18"/>
          <w:szCs w:val="18"/>
          <w:color w:val="auto"/>
        </w:rPr>
        <w:t>Goodwin Procter LLP, counsel for the Company,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at the request of the Company, their written opinion and 10b-5 statement, dated the Closing Date, and addressed to the Underwriters, in form and substance reasonably satisfactory to the Representatives.</w:t>
      </w:r>
    </w:p>
    <w:p>
      <w:pPr>
        <w:spacing w:after="0" w:line="65" w:lineRule="exact"/>
        <w:rPr>
          <w:rFonts w:ascii="Times New Roman" w:cs="Times New Roman" w:eastAsia="Times New Roman" w:hAnsi="Times New Roman"/>
          <w:sz w:val="18"/>
          <w:szCs w:val="18"/>
          <w:color w:val="auto"/>
        </w:rPr>
      </w:pPr>
    </w:p>
    <w:p>
      <w:pPr>
        <w:jc w:val="both"/>
        <w:ind w:left="440" w:right="20" w:firstLine="419"/>
        <w:spacing w:after="0" w:line="261" w:lineRule="auto"/>
        <w:tabs>
          <w:tab w:leader="none" w:pos="10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Representatives shall have received on and as of the Closing Date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and 10b-5 statement, addressed to the Underwriters, of Latham &amp; Watkins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71"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0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and Sale. </w:t>
      </w:r>
      <w:r>
        <w:rPr>
          <w:rFonts w:ascii="Times New Roman" w:cs="Times New Roman" w:eastAsia="Times New Roman" w:hAnsi="Times New Roman"/>
          <w:sz w:val="18"/>
          <w:szCs w:val="18"/>
          <w:color w:val="auto"/>
        </w:rPr>
        <w:t>No action shall have been taken and no statute, rule, regulation or order shall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enacted, adopted or issued by any federal, state or foreign governmental or regulatory authority that would, as of the Closing Date, prevent the issuance or sale of the Shares; and no injunction or order of any federal, state or foreign court shall have been issued that would, as of the Closing Date, prevent the issuance or sale of the Shares.</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67" w:lineRule="auto"/>
        <w:tabs>
          <w:tab w:leader="none" w:pos="11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Representatives shall have received on and as of the Closing Date satisfactory evidence of the good standing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its jurisdiction of organization and good standing in such other jurisdictions as the Representatives may reasonably request, in each case in writing or any standard form of telecommunication from the appropriate governmental authorities of such jurisdictions.</w:t>
      </w:r>
    </w:p>
    <w:p>
      <w:pPr>
        <w:spacing w:after="0" w:line="65" w:lineRule="exact"/>
        <w:rPr>
          <w:rFonts w:ascii="Times New Roman" w:cs="Times New Roman" w:eastAsia="Times New Roman" w:hAnsi="Times New Roman"/>
          <w:sz w:val="18"/>
          <w:szCs w:val="18"/>
          <w:color w:val="auto"/>
        </w:rPr>
      </w:pPr>
    </w:p>
    <w:p>
      <w:pPr>
        <w:ind w:left="440" w:right="140" w:firstLine="419"/>
        <w:spacing w:after="0" w:line="284" w:lineRule="auto"/>
        <w:tabs>
          <w:tab w:leader="none" w:pos="10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Shares to be delivered on the Closing Date shall have been approved for listing on the Nasdaq Market,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official notice of issuance.</w:t>
      </w:r>
    </w:p>
    <w:p>
      <w:pPr>
        <w:spacing w:after="0" w:line="50" w:lineRule="exact"/>
        <w:rPr>
          <w:rFonts w:ascii="Times New Roman" w:cs="Times New Roman" w:eastAsia="Times New Roman" w:hAnsi="Times New Roman"/>
          <w:sz w:val="18"/>
          <w:szCs w:val="18"/>
          <w:color w:val="auto"/>
        </w:rPr>
      </w:pPr>
    </w:p>
    <w:p>
      <w:pPr>
        <w:ind w:left="440" w:right="240" w:firstLine="419"/>
        <w:spacing w:after="0" w:line="267" w:lineRule="auto"/>
        <w:tabs>
          <w:tab w:leader="none" w:pos="11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The “lock-up” agreements, each substantially in the form of Exhibit A hereto, between you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officers and directors of the Company relating to sales and certain other dispositions of shares of Stock or certain other securities, delivered to you on or before the date hereof, shall be in full force and effect on the Closing Date.</w:t>
      </w:r>
    </w:p>
    <w:p>
      <w:pPr>
        <w:spacing w:after="0" w:line="65" w:lineRule="exact"/>
        <w:rPr>
          <w:rFonts w:ascii="Times New Roman" w:cs="Times New Roman" w:eastAsia="Times New Roman" w:hAnsi="Times New Roman"/>
          <w:sz w:val="18"/>
          <w:szCs w:val="18"/>
          <w:color w:val="auto"/>
        </w:rPr>
      </w:pPr>
    </w:p>
    <w:p>
      <w:pPr>
        <w:ind w:left="440" w:firstLine="419"/>
        <w:spacing w:after="0" w:line="284" w:lineRule="auto"/>
        <w:tabs>
          <w:tab w:leader="none" w:pos="11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the Company shall have furnished to the Representatives such further certificates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documents as the Representatives may reasonably request.</w:t>
      </w:r>
    </w:p>
    <w:p>
      <w:pPr>
        <w:spacing w:after="0" w:line="16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ectPr>
          <w:pgSz w:w="11900" w:h="16838" w:orient="portrait"/>
          <w:cols w:equalWidth="0" w:num="1">
            <w:col w:w="11000"/>
          </w:cols>
          <w:pgMar w:left="440" w:top="268" w:right="459" w:bottom="1440" w:gutter="0" w:footer="0" w:header="0"/>
        </w:sectPr>
      </w:pPr>
    </w:p>
    <w:bookmarkStart w:id="27" w:name="page28"/>
    <w:bookmarkEnd w:id="27"/>
    <w:p>
      <w:pPr>
        <w:ind w:left="624" w:hanging="184"/>
        <w:spacing w:after="0"/>
        <w:tabs>
          <w:tab w:leader="none" w:pos="6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right="60" w:firstLine="436"/>
        <w:spacing w:after="0" w:line="254" w:lineRule="auto"/>
        <w:tabs>
          <w:tab w:leader="none" w:pos="68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affiliates,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w:t>
      </w:r>
    </w:p>
    <w:p>
      <w:pPr>
        <w:spacing w:after="0" w:line="1"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contained in the Prospectus (or any amendment or supplement thereto), any Issuer Free Writing Prospectus, any “issuer information” filed or required to be filed pursuant to Rule 433(d) under the Securities Act,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w:t>
      </w:r>
    </w:p>
    <w:p>
      <w:pPr>
        <w:spacing w:after="0" w:line="191" w:lineRule="exact"/>
        <w:rPr>
          <w:rFonts w:ascii="Times New Roman" w:cs="Times New Roman" w:eastAsia="Times New Roman" w:hAnsi="Times New Roman"/>
          <w:sz w:val="18"/>
          <w:szCs w:val="18"/>
          <w:color w:val="auto"/>
        </w:rPr>
      </w:pPr>
    </w:p>
    <w:p>
      <w:pPr>
        <w:ind w:left="4" w:right="40" w:firstLine="436"/>
        <w:spacing w:after="0" w:line="253"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Company</w:t>
      </w:r>
      <w:r>
        <w:rPr>
          <w:rFonts w:ascii="Times New Roman" w:cs="Times New Roman" w:eastAsia="Times New Roman" w:hAnsi="Times New Roman"/>
          <w:sz w:val="18"/>
          <w:szCs w:val="18"/>
          <w:color w:val="auto"/>
        </w:rPr>
        <w:t>. Each Underwriter agrees, severally and not jointly, to indemnify and hold harmless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statements set forth in the first sentence of the third paragraph under the caption “Underwriting”, the first sentence of the first paragraph under the caption “Underwriting—Commission and Expenses”, and the first sentence of the first paragraph under the caption “Underwriting—Stabilization”.</w:t>
      </w:r>
    </w:p>
    <w:p>
      <w:pPr>
        <w:spacing w:after="0" w:line="191" w:lineRule="exact"/>
        <w:rPr>
          <w:rFonts w:ascii="Times New Roman" w:cs="Times New Roman" w:eastAsia="Times New Roman" w:hAnsi="Times New Roman"/>
          <w:sz w:val="18"/>
          <w:szCs w:val="18"/>
          <w:color w:val="auto"/>
        </w:rPr>
      </w:pPr>
    </w:p>
    <w:p>
      <w:pPr>
        <w:ind w:left="4" w:firstLine="436"/>
        <w:spacing w:after="0" w:line="255" w:lineRule="auto"/>
        <w:tabs>
          <w:tab w:leader="none" w:pos="68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w:t>
      </w:r>
    </w:p>
    <w:p>
      <w:pPr>
        <w:sectPr>
          <w:pgSz w:w="11900" w:h="16838" w:orient="portrait"/>
          <w:cols w:equalWidth="0" w:num="1">
            <w:col w:w="10984"/>
          </w:cols>
          <w:pgMar w:left="436" w:top="270" w:right="479" w:bottom="1440" w:gutter="0" w:footer="0" w:header="0"/>
        </w:sectPr>
      </w:pPr>
    </w:p>
    <w:bookmarkStart w:id="28" w:name="page29"/>
    <w:bookmarkEnd w:id="2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reasonably incurred fees and expenses in such proceeding and shall pay the reasonably incurred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reasonably incurred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202" w:lineRule="exact"/>
        <w:rPr>
          <w:sz w:val="20"/>
          <w:szCs w:val="20"/>
          <w:color w:val="auto"/>
        </w:rPr>
      </w:pPr>
    </w:p>
    <w:p>
      <w:pPr>
        <w:ind w:right="80" w:firstLine="436"/>
        <w:spacing w:after="0" w:line="254"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or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w:t>
      </w:r>
    </w:p>
    <w:p>
      <w:pPr>
        <w:sectPr>
          <w:pgSz w:w="11900" w:h="16838" w:orient="portrait"/>
          <w:cols w:equalWidth="0" w:num="1">
            <w:col w:w="11000"/>
          </w:cols>
          <w:pgMar w:left="440" w:top="270" w:right="459" w:bottom="1440" w:gutter="0" w:footer="0" w:header="0"/>
        </w:sectPr>
      </w:pPr>
    </w:p>
    <w:bookmarkStart w:id="29" w:name="page30"/>
    <w:bookmarkEnd w:id="29"/>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5" w:lineRule="exact"/>
        <w:rPr>
          <w:sz w:val="20"/>
          <w:szCs w:val="20"/>
          <w:color w:val="auto"/>
        </w:rPr>
      </w:pPr>
    </w:p>
    <w:p>
      <w:pPr>
        <w:ind w:left="684" w:hanging="244"/>
        <w:spacing w:after="0"/>
        <w:tabs>
          <w:tab w:leader="none" w:pos="6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 paragraph</w:t>
      </w:r>
    </w:p>
    <w:p>
      <w:pPr>
        <w:spacing w:after="0" w:line="29"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reasonably incurred and documented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w:t>
      </w:r>
    </w:p>
    <w:p>
      <w:pPr>
        <w:spacing w:after="0" w:line="190" w:lineRule="exact"/>
        <w:rPr>
          <w:rFonts w:ascii="Times New Roman" w:cs="Times New Roman" w:eastAsia="Times New Roman" w:hAnsi="Times New Roman"/>
          <w:sz w:val="18"/>
          <w:szCs w:val="18"/>
          <w:color w:val="auto"/>
        </w:rPr>
      </w:pPr>
    </w:p>
    <w:p>
      <w:pPr>
        <w:ind w:left="4" w:right="40" w:firstLine="436"/>
        <w:spacing w:after="0" w:line="284" w:lineRule="auto"/>
        <w:tabs>
          <w:tab w:leader="none" w:pos="66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7 paragraphs (a) through (e) are not exclusive and shall not limit any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remedies which may otherwise be available to any Indemnified Person at law or in equity.</w:t>
      </w:r>
    </w:p>
    <w:p>
      <w:pPr>
        <w:spacing w:after="0" w:line="160" w:lineRule="exact"/>
        <w:rPr>
          <w:sz w:val="20"/>
          <w:szCs w:val="20"/>
          <w:color w:val="auto"/>
        </w:rPr>
      </w:pPr>
    </w:p>
    <w:p>
      <w:pPr>
        <w:ind w:left="624" w:hanging="184"/>
        <w:spacing w:after="0"/>
        <w:tabs>
          <w:tab w:leader="none" w:pos="6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225" w:lineRule="exact"/>
        <w:rPr>
          <w:rFonts w:ascii="Times New Roman" w:cs="Times New Roman" w:eastAsia="Times New Roman" w:hAnsi="Times New Roman"/>
          <w:sz w:val="18"/>
          <w:szCs w:val="18"/>
          <w:color w:val="auto"/>
        </w:rPr>
      </w:pPr>
    </w:p>
    <w:p>
      <w:pPr>
        <w:ind w:left="4" w:firstLine="436"/>
        <w:spacing w:after="0" w:line="254" w:lineRule="auto"/>
        <w:tabs>
          <w:tab w:leader="none" w:pos="6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Representatives, by notice to the Company, if after the execution and delivery of this Agreement and on or prior to the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on the terms and in the manner contemplated by this Agreement, the Pricing Disclosure Package and the Prospectus.</w:t>
      </w:r>
    </w:p>
    <w:p>
      <w:pPr>
        <w:spacing w:after="0" w:line="19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66" w:lineRule="auto"/>
        <w:tabs>
          <w:tab w:leader="none" w:pos="6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w:t>
      </w:r>
    </w:p>
    <w:p>
      <w:pPr>
        <w:sectPr>
          <w:pgSz w:w="11900" w:h="16838" w:orient="portrait"/>
          <w:cols w:equalWidth="0" w:num="1">
            <w:col w:w="11004"/>
          </w:cols>
          <w:pgMar w:left="436" w:top="270" w:right="459" w:bottom="1440" w:gutter="0" w:footer="0" w:header="0"/>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192" w:lineRule="exact"/>
        <w:rPr>
          <w:sz w:val="20"/>
          <w:szCs w:val="20"/>
          <w:color w:val="auto"/>
        </w:rPr>
      </w:pPr>
    </w:p>
    <w:p>
      <w:pPr>
        <w:ind w:right="80" w:firstLine="436"/>
        <w:spacing w:after="0" w:line="256"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ind w:right="200" w:firstLine="436"/>
        <w:spacing w:after="0" w:line="274" w:lineRule="auto"/>
        <w:tabs>
          <w:tab w:leader="none" w:pos="68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exceeds one-eleventh of the aggregate amount of Shares to be purchased on such date,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72" w:lineRule="exact"/>
        <w:rPr>
          <w:rFonts w:ascii="Times New Roman" w:cs="Times New Roman" w:eastAsia="Times New Roman" w:hAnsi="Times New Roman"/>
          <w:sz w:val="17"/>
          <w:szCs w:val="17"/>
          <w:color w:val="auto"/>
        </w:rPr>
      </w:pPr>
    </w:p>
    <w:p>
      <w:pPr>
        <w:ind w:right="20" w:firstLine="436"/>
        <w:spacing w:after="0" w:line="282"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60" w:lineRule="exact"/>
        <w:rPr>
          <w:sz w:val="20"/>
          <w:szCs w:val="20"/>
          <w:color w:val="auto"/>
        </w:rPr>
      </w:pPr>
    </w:p>
    <w:p>
      <w:pPr>
        <w:ind w:left="700" w:hanging="264"/>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60" w:firstLine="436"/>
        <w:spacing w:after="0" w:line="253"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(viii) all expenses incurred by the Company in connection with any “road show” presentation to potential investors; provided that the aggregate amount payable by the Company pursuant to clauses (iv) and (vii) shall not exceed $25,000 (excluding filing fees); and (ix) all expenses and application fees related to the listing of the Shares on the Nasdaq Market.</w:t>
      </w:r>
    </w:p>
    <w:p>
      <w:pPr>
        <w:sectPr>
          <w:pgSz w:w="11900" w:h="16838" w:orient="portrait"/>
          <w:cols w:equalWidth="0" w:num="1">
            <w:col w:w="11000"/>
          </w:cols>
          <w:pgMar w:left="440" w:top="270" w:right="459" w:bottom="1440" w:gutter="0" w:footer="0" w:header="0"/>
        </w:sectPr>
      </w:pPr>
    </w:p>
    <w:bookmarkStart w:id="31" w:name="page32"/>
    <w:bookmarkEnd w:id="31"/>
    <w:p>
      <w:pPr>
        <w:ind w:left="-436" w:right="120" w:firstLine="436"/>
        <w:spacing w:after="0" w:line="277" w:lineRule="auto"/>
        <w:tabs>
          <w:tab w:leader="none" w:pos="25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 this Agreement is terminated pursuant to Section 9, (ii) the Company for any reason fails to tender the Shares for delivery to the Underwriters or (iii) the Underwriters decline to purchase the Shares for any reason permitted under this Agreement, the Company agrees to reimburse the Underwriters for all accountable and documented out-of-pocket costs and expenses (including the fees and expenses of their counsel) actually incurred by the Underwriters in connection with this Agreement and the offering contemplated hereby. For the avoidance of doubt, it is understood that the Company shall not pay or reimburse any costs, fees or expenses incurred by any Underwriter that defaults on its obligations to purchase the Shares.</w:t>
      </w:r>
    </w:p>
    <w:p>
      <w:pPr>
        <w:spacing w:after="0" w:line="168" w:lineRule="exact"/>
        <w:rPr>
          <w:sz w:val="20"/>
          <w:szCs w:val="20"/>
          <w:color w:val="auto"/>
        </w:rPr>
      </w:pPr>
    </w:p>
    <w:p>
      <w:pPr>
        <w:ind w:left="-436" w:firstLine="436"/>
        <w:spacing w:after="0" w:line="258" w:lineRule="auto"/>
        <w:tabs>
          <w:tab w:leader="none" w:pos="2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3" w:lineRule="exact"/>
        <w:rPr>
          <w:rFonts w:ascii="Times New Roman" w:cs="Times New Roman" w:eastAsia="Times New Roman" w:hAnsi="Times New Roman"/>
          <w:sz w:val="18"/>
          <w:szCs w:val="18"/>
          <w:color w:val="auto"/>
        </w:rPr>
      </w:pPr>
    </w:p>
    <w:p>
      <w:pPr>
        <w:ind w:left="-436" w:right="80" w:firstLine="436"/>
        <w:spacing w:after="0" w:line="258" w:lineRule="auto"/>
        <w:tabs>
          <w:tab w:leader="none" w:pos="2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w:t>
      </w:r>
    </w:p>
    <w:p>
      <w:pPr>
        <w:spacing w:after="0" w:line="183" w:lineRule="exact"/>
        <w:rPr>
          <w:rFonts w:ascii="Times New Roman" w:cs="Times New Roman" w:eastAsia="Times New Roman" w:hAnsi="Times New Roman"/>
          <w:sz w:val="18"/>
          <w:szCs w:val="18"/>
          <w:color w:val="auto"/>
        </w:rPr>
      </w:pPr>
    </w:p>
    <w:p>
      <w:pPr>
        <w:jc w:val="both"/>
        <w:ind w:left="-436" w:right="180" w:firstLine="436"/>
        <w:spacing w:after="0" w:line="261" w:lineRule="auto"/>
        <w:tabs>
          <w:tab w:leader="none" w:pos="2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spacing w:after="0" w:line="179" w:lineRule="exact"/>
        <w:rPr>
          <w:rFonts w:ascii="Times New Roman" w:cs="Times New Roman" w:eastAsia="Times New Roman" w:hAnsi="Times New Roman"/>
          <w:sz w:val="18"/>
          <w:szCs w:val="18"/>
          <w:color w:val="auto"/>
        </w:rPr>
      </w:pPr>
    </w:p>
    <w:p>
      <w:pPr>
        <w:ind w:left="-436" w:firstLine="436"/>
        <w:spacing w:after="0" w:line="261" w:lineRule="auto"/>
        <w:tabs>
          <w:tab w:leader="none" w:pos="2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36" w:right="120" w:firstLine="436"/>
        <w:spacing w:after="0" w:line="265" w:lineRule="auto"/>
        <w:tabs>
          <w:tab w:leader="none" w:pos="2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Underwriters shall be given to the Representatives c/o Jefferies LLC, 520 Madison Avenue, New York, New York 10022 (fax: (646) 619-4437), Attention: General Counsel; c/o J.P. Morgan Securities LLC, 270 Park Avenue, New York, New York 10017 (fax: (212) 622-8358), Attention: Equity Syndicate Desk; c/o TD Securities (USA) LLC, 1 Vanderbilt Avenue,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10017, Attention: Head of Equity Capital Markets, with a copy to</w:t>
      </w:r>
    </w:p>
    <w:p>
      <w:pPr>
        <w:sectPr>
          <w:pgSz w:w="11900" w:h="16838" w:orient="portrait"/>
          <w:cols w:equalWidth="0" w:num="1">
            <w:col w:w="10564"/>
          </w:cols>
          <w:pgMar w:left="876" w:top="270" w:right="459" w:bottom="1440" w:gutter="0" w:footer="0" w:header="0"/>
        </w:sectPr>
      </w:pPr>
    </w:p>
    <w:bookmarkStart w:id="32" w:name="page33"/>
    <w:bookmarkEnd w:id="32"/>
    <w:p>
      <w:pPr>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CIBLegal@tdsecurities.com; and c/o Guggenheim Securities, LLC, 330 Madison Avenue,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10017, Attention: Equity Syndicate Department. Notices to the Company shall be given to it at Absci Corporation, 18105 SE Mill Plain Blvd., Vancouver, Washington 98683, and a copy (which shall not constitute notice) to Goodwin Procter LLP, 3 Embarcadero Center, San Francisco, California 94111, Attention: Kingsley Taft and Maggie Wong.</w:t>
      </w:r>
    </w:p>
    <w:p>
      <w:pPr>
        <w:spacing w:after="0" w:line="196" w:lineRule="exact"/>
        <w:rPr>
          <w:sz w:val="20"/>
          <w:szCs w:val="20"/>
          <w:color w:val="auto"/>
        </w:rPr>
      </w:pPr>
    </w:p>
    <w:p>
      <w:pPr>
        <w:ind w:right="300" w:firstLine="436"/>
        <w:spacing w:after="0" w:line="284"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The Company hereby submits to the exclusive jurisdiction of the U.S. federal and New York state courts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183" w:lineRule="exact"/>
        <w:rPr>
          <w:rFonts w:ascii="Times New Roman" w:cs="Times New Roman" w:eastAsia="Times New Roman" w:hAnsi="Times New Roman"/>
          <w:sz w:val="18"/>
          <w:szCs w:val="18"/>
          <w:color w:val="auto"/>
        </w:rPr>
      </w:pPr>
    </w:p>
    <w:p>
      <w:pPr>
        <w:ind w:right="280" w:firstLine="436"/>
        <w:spacing w:after="0" w:line="284"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5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07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2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As used in this Section 16(e):</w:t>
      </w:r>
    </w:p>
    <w:p>
      <w:pPr>
        <w:spacing w:after="0" w:line="117" w:lineRule="exact"/>
        <w:rPr>
          <w:sz w:val="20"/>
          <w:szCs w:val="20"/>
          <w:color w:val="auto"/>
        </w:rPr>
      </w:pPr>
    </w:p>
    <w:p>
      <w:pPr>
        <w:ind w:left="1420" w:right="320"/>
        <w:spacing w:after="0" w:line="282" w:lineRule="auto"/>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2200" w:hanging="221"/>
        <w:spacing w:after="0"/>
        <w:tabs>
          <w:tab w:leader="none" w:pos="2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2300" w:hanging="321"/>
        <w:spacing w:after="0"/>
        <w:tabs>
          <w:tab w:leader="none" w:pos="2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ectPr>
          <w:pgSz w:w="11900" w:h="16838" w:orient="portrait"/>
          <w:cols w:equalWidth="0" w:num="1">
            <w:col w:w="11000"/>
          </w:cols>
          <w:pgMar w:left="440" w:top="270" w:right="459" w:bottom="1440" w:gutter="0" w:footer="0" w:header="0"/>
        </w:sectPr>
      </w:pPr>
    </w:p>
    <w:bookmarkStart w:id="33" w:name="page34"/>
    <w:bookmarkEnd w:id="33"/>
    <w:p>
      <w:pPr>
        <w:ind w:left="980"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 Right” has the meaning assigned to that term in, and shall be interpreted in accordance with, 12 C.F.R. §§ 252.81, 47.2 or 382.1, as applicable.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1240" w:hanging="253"/>
        <w:spacing w:after="0"/>
        <w:tabs>
          <w:tab w:leader="none" w:pos="12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96"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p>
    <w:p>
      <w:pPr>
        <w:spacing w:after="0" w:line="29"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 each of which shall be an original and all of which together shall constitute one and the same instrument.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78" w:lineRule="exact"/>
        <w:rPr>
          <w:rFonts w:ascii="Times New Roman" w:cs="Times New Roman" w:eastAsia="Times New Roman" w:hAnsi="Times New Roman"/>
          <w:sz w:val="18"/>
          <w:szCs w:val="18"/>
          <w:color w:val="auto"/>
        </w:rPr>
      </w:pPr>
    </w:p>
    <w:p>
      <w:pPr>
        <w:ind w:right="660" w:firstLine="436"/>
        <w:spacing w:after="0" w:line="284"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50" w:lineRule="exact"/>
        <w:rPr>
          <w:rFonts w:ascii="Times New Roman" w:cs="Times New Roman" w:eastAsia="Times New Roman" w:hAnsi="Times New Roman"/>
          <w:sz w:val="18"/>
          <w:szCs w:val="18"/>
          <w:color w:val="auto"/>
        </w:rPr>
      </w:pPr>
    </w:p>
    <w:p>
      <w:pPr>
        <w:ind w:right="140" w:firstLine="436"/>
        <w:spacing w:after="0" w:line="284"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ectPr>
          <w:pgSz w:w="11900" w:h="16838" w:orient="portrait"/>
          <w:cols w:equalWidth="0" w:num="1">
            <w:col w:w="10900"/>
          </w:cols>
          <w:pgMar w:left="440" w:top="270" w:right="559" w:bottom="1440" w:gutter="0" w:footer="0" w:header="0"/>
        </w:sectPr>
      </w:pPr>
    </w:p>
    <w:bookmarkStart w:id="34" w:name="page35"/>
    <w:bookmarkEnd w:id="3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ABSCI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Zachariah Jonasson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Zachariah Jonasson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 and Chief</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Business Officer</w:t>
      </w: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660"/>
          </w:cols>
          <w:pgMar w:left="440" w:top="270" w:right="7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Brinkman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Michael Brinkman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Ben Burdett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Ben Burdett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 Head of HC ECM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Eric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Eric Lu</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Jami 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Jami Robin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Underwriter</w:t>
            </w:r>
          </w:p>
        </w:tc>
        <w:tc>
          <w:tcPr>
            <w:tcW w:w="56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Number of Shares</w:t>
            </w:r>
          </w:p>
        </w:tc>
      </w:tr>
      <w:tr>
        <w:trPr>
          <w:trHeight w:val="203"/>
        </w:trPr>
        <w:tc>
          <w:tcPr>
            <w:tcW w:w="6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Jefferies LLC</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4,453,441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4,453,441</w:t>
            </w: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2,564,103</w:t>
            </w: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2,024,292</w:t>
            </w: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13,495,277</w:t>
            </w:r>
          </w:p>
        </w:tc>
      </w:tr>
    </w:tbl>
    <w:p>
      <w:pPr>
        <w:sectPr>
          <w:pgSz w:w="11900" w:h="16838" w:orient="portrait"/>
          <w:cols w:equalWidth="0" w:num="1">
            <w:col w:w="10020"/>
          </w:cols>
          <w:pgMar w:left="1440" w:top="270"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48" w:lineRule="exact"/>
        <w:rPr>
          <w:sz w:val="20"/>
          <w:szCs w:val="20"/>
          <w:color w:val="auto"/>
        </w:rPr>
      </w:pPr>
    </w:p>
    <w:p>
      <w:pPr>
        <w:ind w:left="444" w:right="6100" w:hanging="444"/>
        <w:spacing w:after="0" w:line="412" w:lineRule="auto"/>
        <w:tabs>
          <w:tab w:leader="none" w:pos="436"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Information Included in Pricing Disclosure Package </w:t>
      </w:r>
      <w:r>
        <w:rPr>
          <w:rFonts w:ascii="Times New Roman" w:cs="Times New Roman" w:eastAsia="Times New Roman" w:hAnsi="Times New Roman"/>
          <w:sz w:val="18"/>
          <w:szCs w:val="18"/>
          <w:color w:val="auto"/>
        </w:rPr>
        <w:t>None.</w:t>
      </w:r>
    </w:p>
    <w:p>
      <w:pPr>
        <w:spacing w:after="0" w:line="193" w:lineRule="exact"/>
        <w:rPr>
          <w:rFonts w:ascii="Times New Roman" w:cs="Times New Roman" w:eastAsia="Times New Roman" w:hAnsi="Times New Roman"/>
          <w:sz w:val="18"/>
          <w:szCs w:val="18"/>
          <w:b w:val="1"/>
          <w:bCs w:val="1"/>
          <w:color w:val="auto"/>
        </w:rPr>
      </w:pPr>
    </w:p>
    <w:p>
      <w:pPr>
        <w:ind w:left="444" w:right="6980" w:hanging="444"/>
        <w:spacing w:after="0" w:line="412" w:lineRule="auto"/>
        <w:tabs>
          <w:tab w:leader="none" w:pos="436"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Pricing Information Provided by Underwriters </w:t>
      </w:r>
      <w:r>
        <w:rPr>
          <w:rFonts w:ascii="Times New Roman" w:cs="Times New Roman" w:eastAsia="Times New Roman" w:hAnsi="Times New Roman"/>
          <w:sz w:val="18"/>
          <w:szCs w:val="18"/>
          <w:color w:val="auto"/>
        </w:rPr>
        <w:t>Shares: 13,495,277 shares</w:t>
      </w:r>
    </w:p>
    <w:p>
      <w:pPr>
        <w:spacing w:after="0" w:line="4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 Offering Price Per Share: $7.4100</w:t>
      </w:r>
    </w:p>
    <w:p>
      <w:pPr>
        <w:spacing w:after="0" w:line="117" w:lineRule="exact"/>
        <w:rPr>
          <w:rFonts w:ascii="Times New Roman" w:cs="Times New Roman" w:eastAsia="Times New Roman" w:hAnsi="Times New Roman"/>
          <w:sz w:val="18"/>
          <w:szCs w:val="18"/>
          <w:b w:val="1"/>
          <w:bCs w:val="1"/>
          <w:color w:val="auto"/>
        </w:rPr>
      </w:pPr>
    </w:p>
    <w:p>
      <w:pPr>
        <w:ind w:left="444" w:right="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intends to use the net proceeds from this offering to fund the advancement of ABS-201, the Company’s AI-designed anti-PRLR antibody product candidate, across androgenetic alopecia (pattern hair loss) and endometriosis, and for working capital and other general corporate purposes.</w:t>
      </w:r>
    </w:p>
    <w:p>
      <w:pPr>
        <w:spacing w:after="0" w:line="6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received an indication of interest from Eli Lilly &amp; Co. to purchase $40.0 million in shares in the offering.</w:t>
      </w:r>
    </w:p>
    <w:p>
      <w:pPr>
        <w:sectPr>
          <w:pgSz w:w="11900" w:h="16838" w:orient="portrait"/>
          <w:cols w:equalWidth="0" w:num="1">
            <w:col w:w="11024"/>
          </w:cols>
          <w:pgMar w:left="436" w:top="270" w:right="4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ABSCI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Pricing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020"/>
          </w:cols>
          <w:pgMar w:left="440" w:top="270"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6136005</wp:posOffset>
            </wp:positionH>
            <wp:positionV relativeFrom="paragraph">
              <wp:posOffset>-7620</wp:posOffset>
            </wp:positionV>
            <wp:extent cx="571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referred to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Guggenheim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34"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AbSci Corporation –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you, as Representatives of the several Underwriters, propose to enter into an underwriting agreement (the “Underwriting Agreement”) with AbSci Corporation, a Delaware corporation (the “Company”), providing for the public offering (the “Public Offering”) by the several Underwriters named in Schedule 1 to the Underwriting Agreement (the “Underwriters”), of common stock, $0.0001 par value per share, of the Company (the “Securities”). Capitalized terms used herein and not otherwise defined shall have the meanings set forth in the Underwriting Agreement.</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In consideration of the Underwriters’ agreement to purchase and make the Public Offering of the Securities, and for other good and valuable consideration, the receipt of which is hereby acknowledged, the undersigned hereby agrees that, without the prior written consent of the Representatives on behalf of the several Underwriters, the undersigned will not, and will not cause any direct or indirect affiliate to, in each case subject to the exceptions set forth herein, during the period beginning on the date of this letter agreement (this “Letter Agreement”) and ending at the close of</w:t>
      </w:r>
    </w:p>
    <w:p>
      <w:pPr>
        <w:sectPr>
          <w:pgSz w:w="11900" w:h="16838" w:orient="portrait"/>
          <w:cols w:equalWidth="0" w:num="1">
            <w:col w:w="11020"/>
          </w:cols>
          <w:pgMar w:left="440" w:top="270" w:right="439" w:bottom="1440" w:gutter="0" w:footer="0" w:header="0"/>
        </w:sectPr>
      </w:pPr>
    </w:p>
    <w:bookmarkStart w:id="40" w:name="page41"/>
    <w:bookmarkEnd w:id="40"/>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on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set forth on the cover of the final prospectus supplement relating to the Public Offering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$0.0001 per share par value, of the Company (the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during the Restricted Period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the Representatives with the details of any transaction the undersigned, or any of its affiliates, is a party to as of the date hereof, which transaction would have been restricted by this Letter Agreement if it had been entered into by the undersigned during the Restricted Period.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the undersigned may transfer or dispose of the undersigned’s Lock-Up Securities:</w:t>
      </w:r>
    </w:p>
    <w:p>
      <w:pPr>
        <w:spacing w:after="0" w:line="117" w:lineRule="exact"/>
        <w:rPr>
          <w:sz w:val="20"/>
          <w:szCs w:val="20"/>
          <w:color w:val="auto"/>
        </w:rPr>
      </w:pPr>
    </w:p>
    <w:p>
      <w:pPr>
        <w:ind w:left="660" w:hanging="224"/>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for bona fide estate planning purposes;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intestacy;</w:t>
      </w:r>
    </w:p>
    <w:p>
      <w:pPr>
        <w:spacing w:after="0" w:line="117" w:lineRule="exact"/>
        <w:rPr>
          <w:rFonts w:ascii="Times New Roman" w:cs="Times New Roman" w:eastAsia="Times New Roman" w:hAnsi="Times New Roman"/>
          <w:sz w:val="18"/>
          <w:szCs w:val="18"/>
          <w:color w:val="auto"/>
        </w:rPr>
      </w:pPr>
    </w:p>
    <w:p>
      <w:pPr>
        <w:ind w:right="40" w:firstLine="436"/>
        <w:spacing w:after="0" w:line="261" w:lineRule="auto"/>
        <w:tabs>
          <w:tab w:leader="none" w:pos="7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member of the undersigned’s immediate family or to any trust or other entity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71" w:lineRule="exact"/>
        <w:rPr>
          <w:rFonts w:ascii="Times New Roman" w:cs="Times New Roman" w:eastAsia="Times New Roman" w:hAnsi="Times New Roman"/>
          <w:sz w:val="18"/>
          <w:szCs w:val="18"/>
          <w:color w:val="auto"/>
        </w:rPr>
      </w:pPr>
    </w:p>
    <w:p>
      <w:pPr>
        <w:ind w:right="360" w:firstLine="436"/>
        <w:spacing w:after="0" w:line="266" w:lineRule="auto"/>
        <w:tabs>
          <w:tab w:leader="none" w:pos="7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corporation, partnership, limited liability company, trust or other entity of which the undersigned and/or one or more members of the immediate family of the undersigned are, directly or indirectly, the legal and beneficial owner of all of the outstanding equity securities or similar interests or are under common control with the undersigned;</w:t>
      </w:r>
    </w:p>
    <w:p>
      <w:pPr>
        <w:spacing w:after="0" w:line="67"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(iv) above, and in each such case, subject to the same conditions;</w:t>
      </w:r>
    </w:p>
    <w:p>
      <w:pPr>
        <w:sectPr>
          <w:pgSz w:w="11900" w:h="16838" w:orient="portrait"/>
          <w:cols w:equalWidth="0" w:num="1">
            <w:col w:w="10960"/>
          </w:cols>
          <w:pgMar w:left="440" w:top="270" w:right="499" w:bottom="1440" w:gutter="0" w:footer="0" w:header="0"/>
        </w:sectPr>
      </w:pPr>
    </w:p>
    <w:bookmarkStart w:id="41" w:name="page42"/>
    <w:bookmarkEnd w:id="41"/>
    <w:p>
      <w:pPr>
        <w:ind w:right="160" w:firstLine="436"/>
        <w:spacing w:after="0" w:line="255" w:lineRule="auto"/>
        <w:tabs>
          <w:tab w:leader="none" w:pos="7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or management or common investment management or common investment advisor with the undersigned or affiliates of the undersigned (including, for the avoidance of doubt, where the undersigned is a partnership, to its general partner or a successor partnership or fund, or any other funds managed by such partnership), or (B) as part of a distribution or other transfer to direct or indirect members, limited partners, general partners, subsidiaries, affiliates, shareholders or other equity holders of the undersigned;</w:t>
      </w:r>
    </w:p>
    <w:p>
      <w:pPr>
        <w:spacing w:after="0" w:line="80" w:lineRule="exact"/>
        <w:rPr>
          <w:rFonts w:ascii="Times New Roman" w:cs="Times New Roman" w:eastAsia="Times New Roman" w:hAnsi="Times New Roman"/>
          <w:sz w:val="18"/>
          <w:szCs w:val="18"/>
          <w:color w:val="auto"/>
        </w:rPr>
      </w:pPr>
    </w:p>
    <w:p>
      <w:pPr>
        <w:ind w:left="800" w:hanging="364"/>
        <w:spacing w:after="0"/>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separation agreement or court order;</w:t>
      </w:r>
    </w:p>
    <w:p>
      <w:pPr>
        <w:spacing w:after="0" w:line="117" w:lineRule="exact"/>
        <w:rPr>
          <w:rFonts w:ascii="Times New Roman" w:cs="Times New Roman" w:eastAsia="Times New Roman" w:hAnsi="Times New Roman"/>
          <w:sz w:val="18"/>
          <w:szCs w:val="18"/>
          <w:color w:val="auto"/>
        </w:rPr>
      </w:pPr>
    </w:p>
    <w:p>
      <w:pPr>
        <w:ind w:right="20" w:firstLine="436"/>
        <w:spacing w:after="0" w:line="282" w:lineRule="auto"/>
        <w:tabs>
          <w:tab w:leader="none" w:pos="8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independent contractor or other service provider of the Company upon death, disability or termination of employment or cessation of services, in each case, of such employee, independent contractor or service provider;</w:t>
      </w:r>
    </w:p>
    <w:p>
      <w:pPr>
        <w:spacing w:after="0" w:line="53" w:lineRule="exact"/>
        <w:rPr>
          <w:rFonts w:ascii="Times New Roman" w:cs="Times New Roman" w:eastAsia="Times New Roman" w:hAnsi="Times New Roman"/>
          <w:sz w:val="18"/>
          <w:szCs w:val="18"/>
          <w:color w:val="auto"/>
        </w:rPr>
      </w:pPr>
    </w:p>
    <w:p>
      <w:pPr>
        <w:ind w:right="160" w:firstLine="436"/>
        <w:spacing w:after="0" w:line="282" w:lineRule="auto"/>
        <w:tabs>
          <w:tab w:leader="none" w:pos="7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sale of the undersigned’s Lock-Up Securities acquired in (1) the Public Offering or (2) open market transactions after the closing date for the Public Offering;</w:t>
      </w:r>
    </w:p>
    <w:p>
      <w:pPr>
        <w:spacing w:after="0" w:line="53" w:lineRule="exact"/>
        <w:rPr>
          <w:rFonts w:ascii="Times New Roman" w:cs="Times New Roman" w:eastAsia="Times New Roman" w:hAnsi="Times New Roman"/>
          <w:sz w:val="18"/>
          <w:szCs w:val="18"/>
          <w:color w:val="auto"/>
        </w:rPr>
      </w:pPr>
    </w:p>
    <w:p>
      <w:pPr>
        <w:ind w:right="240" w:firstLine="436"/>
        <w:spacing w:after="0" w:line="255" w:lineRule="auto"/>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shares of Common Stock received upon such exercise, vesting or settlement shall be subject to the terms of this Letter Agreement,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or filed as an exhibit to the Registration Statement; or</w:t>
      </w:r>
    </w:p>
    <w:p>
      <w:pPr>
        <w:spacing w:after="0" w:line="80" w:lineRule="exact"/>
        <w:rPr>
          <w:rFonts w:ascii="Times New Roman" w:cs="Times New Roman" w:eastAsia="Times New Roman" w:hAnsi="Times New Roman"/>
          <w:sz w:val="18"/>
          <w:szCs w:val="18"/>
          <w:color w:val="auto"/>
        </w:rPr>
      </w:pPr>
    </w:p>
    <w:p>
      <w:pPr>
        <w:ind w:firstLine="436"/>
        <w:spacing w:after="0" w:line="255" w:lineRule="auto"/>
        <w:tabs>
          <w:tab w:leader="none" w:pos="7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 majority of the outstanding voting securities of the Company (or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8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transfer, distribution or other disposition pursuant to clause (i), (ii), (iii), (iv), (v), (vi) and (vii), such transfer shall not involve a disposition for value and each donee, devisee, transferee or distributee shall execute and deliver to the Representatives a lock-up letter in the form of this Letter Agreement, (B) in the case of any transfer, distribution or other disposition pursuant to clause (ii), (iii), (iv), (v), (vi), (ix) and (x), no filing by any party (donor, donee, devisee, transferor, transferee, distributer or distributee) under the Securities Exchange Act of 1934, as amended (the “Exchange Act”), or other public announcement shall be required or shall be made voluntarily in connection with such transfer or distribution (other than a filing on a Form 5 or any required Schedule 13D, Schedule 13D/A, Schedule 13F, Schedule 13G or Schedule 13G/A, so long as</w:t>
      </w:r>
    </w:p>
    <w:p>
      <w:pPr>
        <w:sectPr>
          <w:pgSz w:w="11900" w:h="16838" w:orient="portrait"/>
          <w:cols w:equalWidth="0" w:num="1">
            <w:col w:w="11000"/>
          </w:cols>
          <w:pgMar w:left="440" w:top="270" w:right="459" w:bottom="1440" w:gutter="0" w:footer="0" w:header="0"/>
        </w:sectPr>
      </w:pPr>
    </w:p>
    <w:bookmarkStart w:id="42" w:name="page43"/>
    <w:bookmarkEnd w:id="4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required filing includes a reasonably detailed explanation of transfer or distribution) and (C) in the case of any transfer or distribution pursuant to clause (i), (vii), (viii)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Furthermore, notwithstanding the restrictions imposed by this Letter Agreement, the undersigned may exercise an option or other equity award to purchase shares of Common Stock or exercise warrants, provided that the shares of Common Stock issued upon such exercise shall continue to be subject to the restrictions on transfer set forth in this Letter Agreement.</w:t>
      </w:r>
    </w:p>
    <w:p>
      <w:pPr>
        <w:spacing w:after="0" w:line="176"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 meaning of Section 13(d)(3) of the Exchange Act) beneficially owns, directly or indirectly, 50% or more of the common equity interests, or 50% or more of the voting power, in the undersigned.</w:t>
      </w:r>
    </w:p>
    <w:p>
      <w:pPr>
        <w:spacing w:after="0" w:line="176"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Nothing in this Letter Agreement shall prevent the establishment by the undersigned of any contract, instruction or plan (a “Plan”) meeting the requirements of Rule 10b5-1 under the Exchange Act for the transfer of shares of Common Stock, provided that (1) such Plan does not provide for the sale of Lock-up Securities during the Restricted Period and (2) no filing by any person under the Exchange Act or other public announcement shall be required or shall be made voluntarily in connection with the establishment of such Plan, except for such disclosure as may be required under the Exchange Act or Regulation S-K of the Securities and Exchange Commission.</w:t>
      </w:r>
    </w:p>
    <w:p>
      <w:pPr>
        <w:spacing w:after="0" w:line="183"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undersigned hereby consents to receipt of this Letter Agreement in electronic form and understands and agrees that this Letter Agreement may be signed electronically. In the event that any signature is delivered by facsimile transmission, electronic mail, or otherwise by electronic transmission evidencing an intent to sign this Letter Agreement, such facsimile transmission, electronic mail or other electronic transmission shall create a valid and binding obligation of the undersigned with the same force and effect as if such signature were an original. Execution and delivery of this Letter Agreement by facsimile transmission, electronic mail or other electronic transmission is legal, valid and binding for all purposes.</w:t>
      </w:r>
    </w:p>
    <w:p>
      <w:pPr>
        <w:spacing w:after="0" w:line="183"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participate in the Public Offering, enter into this Letter Agreement, or sell any Securities at the price determined in the Public Offering, and nothing set forth in such disclosures is intended to suggest that the Representatives or any Underwriter is making such a recommendation.</w:t>
      </w:r>
    </w:p>
    <w:p>
      <w:pPr>
        <w:sectPr>
          <w:pgSz w:w="11900" w:h="16838" w:orient="portrait"/>
          <w:cols w:equalWidth="0" w:num="1">
            <w:col w:w="10980"/>
          </w:cols>
          <w:pgMar w:left="440" w:top="270" w:right="479" w:bottom="1440" w:gutter="0" w:footer="0" w:header="0"/>
        </w:sectPr>
      </w:pPr>
    </w:p>
    <w:bookmarkStart w:id="43" w:name="page44"/>
    <w:bookmarkEnd w:id="4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understands that, (i) if the Underwriting Agreement does not become effective by July 10, 2026, (ii) if the Underwriting Agreement (other than the provisions thereof which survive termination) shall terminate or be terminated prior to payment for and delivery of the Common Stock to be sold thereunder, (iii) either the Company, on the one hand, or the Representatives on behalf of the Underwriters, on the other hand, notifies the other in writing prior to execution of the Underwriting Agreement that it does not intend to proceed with the Public Offering or (iv) the Registration Statement filed with the SEC in connection with the Public Offering is withdrawn prior to the execution of the Underwriting Agreement, the Letter Agreement shall automatically, and without any action on the part of any other party, terminate and be of no further force and effect and the undersigned shall automatically be released from all obligations under this Letter Agreement. The undersigned understands that the Underwriters are entering into the Underwriting Agreement and proceeding with the Public Offering in reliance upon this Letter Agreement.</w:t>
      </w:r>
    </w:p>
    <w:p>
      <w:pPr>
        <w:sectPr>
          <w:pgSz w:w="11900" w:h="16838" w:orient="portrait"/>
          <w:cols w:equalWidth="0" w:num="1">
            <w:col w:w="10980"/>
          </w:cols>
          <w:pgMar w:left="440" w:top="270" w:right="479" w:bottom="1440" w:gutter="0" w:footer="0" w:header="0"/>
        </w:sectPr>
      </w:pPr>
    </w:p>
    <w:bookmarkStart w:id="44" w:name="page45"/>
    <w:bookmarkEnd w:id="4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Letter Agreement and any claim, controversy or dispute arising under or related to this Letter Agreement shall be governed by and construed in accordance with the laws of the State of New York.</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STOCKHOLDER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40"/>
          </w:cols>
          <w:pgMar w:left="440" w:top="270" w:right="5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714500" cy="3860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0" cy="386080"/>
                    </a:xfrm>
                    <a:prstGeom prst="rect">
                      <a:avLst/>
                    </a:prstGeom>
                    <a:noFill/>
                  </pic:spPr>
                </pic:pic>
              </a:graphicData>
            </a:graphic>
          </wp:anchor>
        </w:drawing>
      </w:r>
    </w:p>
    <w:p>
      <w:pPr>
        <w:spacing w:after="0" w:line="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525 Market Street</w:t>
      </w:r>
    </w:p>
    <w:p>
      <w:pPr>
        <w:spacing w:after="0" w:line="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112"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goodwinlaw.com</w:t>
      </w:r>
    </w:p>
    <w:p>
      <w:pPr>
        <w:spacing w:after="0" w:line="2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+1 415 733 6000</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Absci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18105 SE Mill Plain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WA 98683</w:t>
      </w:r>
    </w:p>
    <w:p>
      <w:pPr>
        <w:spacing w:after="0" w:line="35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11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(File No. 333-289541) (as amended or supplemented, the “Registration Statement”) filed on August 12, 2025 with the Securities and Exchange Commission (the “Commission”) pursuant to the Securities Act of 1933, as amended (the “Securities Act”), relating to the registration of the offer by Absci Corporation, a Delaware corporation (the “Company”), of up to $400,000,000 of any combination of securities of the types specified therein. The Registration Statement was declared effective by the Commission on August 22, 2025. Reference is made to our opinion letter dated August 12, 2025 and included as Exhibit 5.1 to the Registration Statement. We are delivering this supplemental opinion letter in connection with the prospectus supplement (the “Prospectus Supplement”) filed on June 24, 2026 by the Company with the Commission pursuant to Rule 424 under the Securities Act. The Prospectus Supplement relates to the offering by the Company of up to 13,495,277 shares of the Company’s common stock, par value $0.0001 per share (the “Shares”), covered by the Registration Statement. The Shares are being sold to the several underwriters named in, and pursuant to, an underwriting agreement among the Company and such underwriters (the “Underwriting Agreement”).</w:t>
      </w:r>
    </w:p>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delivered and paid for in accordance with the terms of the Underwriting Agreement,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ectPr>
          <w:pgSz w:w="11900" w:h="16838" w:orient="portrait"/>
          <w:cols w:equalWidth="0" w:num="1">
            <w:col w:w="11020"/>
          </w:cols>
          <w:pgMar w:left="440" w:top="117"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Absci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Current Report on Form 8-K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0860"/>
          </w:cols>
          <w:pgMar w:left="440" w:top="270" w:right="5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i w:val="1"/>
          <w:iCs w:val="1"/>
          <w:color w:val="auto"/>
        </w:rPr>
        <w:t>Absci Announces Pricing of $100 Million Underwritten Offering with Leading Strategic and Financial Investors</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Eli Lilly &amp; Company, Adage, BVF Partners, Columbia Threadneedle, Invus, Redmile, and large investment management firm invest $100 million in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Absci</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Proceeds from offering to support continued advancement of ABS-201</w:t>
      </w:r>
      <w:r>
        <w:rPr>
          <w:rFonts w:ascii="Times New Roman" w:cs="Times New Roman" w:eastAsia="Times New Roman" w:hAnsi="Times New Roman"/>
          <w:sz w:val="26"/>
          <w:szCs w:val="26"/>
          <w:i w:val="1"/>
          <w:iCs w:val="1"/>
          <w:color w:val="auto"/>
          <w:vertAlign w:val="superscript"/>
        </w:rPr>
        <w:t>TM</w:t>
      </w:r>
      <w:r>
        <w:rPr>
          <w:rFonts w:ascii="Times New Roman" w:cs="Times New Roman" w:eastAsia="Times New Roman" w:hAnsi="Times New Roman"/>
          <w:sz w:val="18"/>
          <w:szCs w:val="18"/>
          <w:i w:val="1"/>
          <w:iCs w:val="1"/>
          <w:color w:val="auto"/>
        </w:rPr>
        <w:t xml:space="preserve"> across androgenetic alopecia and endometriosis</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VANCOUVER, Wash. and NEW YORK, June 24, 2026 — Absci Corporation (Nasdaq: ABSI), a clinical-stage biopharmaceutical company advancing breakthrough therapeutics designed with generative AI, today announced the pricing of an underwritten offering of 13,495,277 shares of its common stock at a price of $7.41 per share, before deducting underwriting discounts and commissions.</w:t>
      </w:r>
    </w:p>
    <w:p>
      <w:pPr>
        <w:spacing w:after="0" w:line="176"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The gross proceeds from the offering, before deducting underwriting discounts and commissions and offering expenses, are expected to be approximately $100 million. All of the shares in the offering are to be sold by Absci.</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Absci intends to use the net proceeds from the offering to fund the advancement of ABS-201, Absci’s AI-designed anti-PRLR antibody program across androgenetic alopecia (pattern hair loss) and endometriosis, and for working capital and other general corporate purposes.</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Jefferies, J.P. Morgan, TD Cowen, and Guggenheim Securities are acting as joint book-running managers for the offering. The offering is expected to close on or about June 25, 2026, subject to the satisfaction of customary closing conditions. The financing includes participation from Eli Lilly &amp; Company alongside leading financial institutions including Adage, BVF Partners, Columbia Threadneedle, Invus, Redmile, and a large investment management firm.</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shares of common stock are being offered by Absci pursuant to an effective shelf registration statement on Form S-3 (File No. 333-289541) that was previously filed with the U.S. Securities and Exchange Commission (SEC) on August 12, 2025 and became effective on August 22, 2025. The prospectus supplement and accompanying prospectus relating to the offering will be filed with the SEC and may be obtained, when available, from Jefferies LLC, Attention: Equity Syndicate Prospectus Department, 520 Madison Avenue, New York, NY 10022, by telephone at (877) 821-7388 or by email at prospectus_department@jefferies.com; J.P. Morgan Securities LLC, c/o Broadridge Financial Solutions, 1155 Long Island Avenue, Edgewood, NY 11717, by email at prospectus-eq_fi@jpmchase.com and postsalemanualrequests@broadridge.com; TD Securities (USA) LLC, 1 Vanderbilt Avenue, New York, NY 10017, by telephone at (833) 297-2926, or by email at TD.ECM_Prospectus@tdsecurities.com; Guggenheim Securities, LLC, Attention: Equity Syndicate Department, 330 Madison Avenue, 8th Floor, New York, NY 10017, by telephone at (212) 518-9544, or by email at GSEquityProspectusDelivery@guggenheimpartners.com; or by accessing the SEC’s website at www.sec.gov.</w:t>
      </w:r>
    </w:p>
    <w:p>
      <w:pPr>
        <w:sectPr>
          <w:pgSz w:w="11900" w:h="16838" w:orient="portrait"/>
          <w:cols w:equalWidth="0" w:num="1">
            <w:col w:w="11020"/>
          </w:cols>
          <w:pgMar w:left="440" w:top="117" w:right="439" w:bottom="1440" w:gutter="0" w:footer="0" w:header="0"/>
        </w:sectPr>
      </w:pPr>
    </w:p>
    <w:bookmarkStart w:id="48" w:name="page49"/>
    <w:bookmarkEnd w:id="4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Absci</w:t>
      </w:r>
    </w:p>
    <w:p>
      <w:pPr>
        <w:spacing w:after="0" w:line="121"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8"/>
          <w:szCs w:val="18"/>
          <w:color w:val="auto"/>
        </w:rPr>
        <w:t>Absci is advancing the future of drug discovery with generative design to create better biologics for patients, faster. Our Integrated Drug Creation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combines cutting-edge AI models with a synthetic biology data engine, enabling the rapid design of innovative therapeutics that address challenging therapeutic targets. Absci’s approach leverages a continuous feedback loop between advanced AI algorithms and wet lab validation. Each cycle refines our data and strengthens our models, facilitating rapid innovation and enhancing the precision of our therapeutic designs. Alongside collaborations with top pharmaceutical, biotech, tech, and academic leaders, Absci is advancing its own pipeline of AI designed therapeutics including ABS-201</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groundbreaking innovation in hair regrowth with the potential to redefine treatment possibilities for androgenetic alopecia, commonly known as male and female pattern hair-loss. ABS-201 is also being investigated as a potential “best-in-class” therapeutic for endometriosis, a condition with significant unmet medical need and market potential.</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express or implied statements regarding any or all of the following: market conditions and the satisfaction of customary closing conditions related to the offering and the intended use of proceeds from the offering, among others. Risks that contribute to the uncertain nature of the express or implied forward-looking statements in this press release include, without limitation, the risks and uncertainties inherent in biopharmaceutical development, including initiating, enrolling and conducting clinical trials; obtaining regulatory approval; protecting intellectual property; raising sufficient capital to support such efforts; and the risk that the costs to support such efforts may be higher than anticipated; as well as those risks and uncertainties discussed under the heading “Risk Factors” in Absci’s most recent quarterly report on Form 10-Q and in any other subsequent filings made by Absci with the U.S. Securities and Exchange Commission. Existing and prospective investors are cautioned not to place undue reliance on these forward-looking statements, which speak only as of the date they are made. Absci disclaims any obligation or undertaking to update or revise any forward-looking statements contained in this press release, other than to the extent required by law.</w:t>
      </w:r>
    </w:p>
    <w:p>
      <w:pPr>
        <w:sectPr>
          <w:pgSz w:w="11900" w:h="16838" w:orient="portrait"/>
          <w:cols w:equalWidth="0" w:num="1">
            <w:col w:w="11000"/>
          </w:cols>
          <w:pgMar w:left="440" w:top="270"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D.H. Khan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investors@absci.com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press@absci.com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2"/>
    </w:lvl>
  </w:abstractNum>
  <w:abstractNum w:abstractNumId="4">
    <w:nsid w:val="6CEAF087"/>
    <w:multiLevelType w:val="hybridMultilevel"/>
    <w:lvl w:ilvl="0">
      <w:lvlJc w:val="left"/>
      <w:lvlText w:val="(%1)"/>
      <w:numFmt w:val="lowerLetter"/>
      <w:start w:val="1"/>
    </w:lvl>
  </w:abstractNum>
  <w:abstractNum w:abstractNumId="5">
    <w:nsid w:val="22221A70"/>
    <w:multiLevelType w:val="hybridMultilevel"/>
    <w:lvl w:ilvl="0">
      <w:lvlJc w:val="left"/>
      <w:lvlText w:val="(%1)"/>
      <w:numFmt w:val="lowerLetter"/>
      <w:start w:val="4"/>
    </w:lvl>
  </w:abstractNum>
  <w:abstractNum w:abstractNumId="6">
    <w:nsid w:val="4516DDE9"/>
    <w:multiLevelType w:val="hybridMultilevel"/>
    <w:lvl w:ilvl="0">
      <w:lvlJc w:val="left"/>
      <w:lvlText w:val="%1."/>
      <w:numFmt w:val="decimal"/>
      <w:start w:val="3"/>
    </w:lvl>
    <w:lvl w:ilvl="1">
      <w:lvlJc w:val="left"/>
      <w:lvlText w:val="(%2)"/>
      <w:numFmt w:val="lowerLetter"/>
      <w:start w:val="1"/>
    </w:lvl>
  </w:abstractNum>
  <w:abstractNum w:abstractNumId="7">
    <w:nsid w:val="3006C83E"/>
    <w:multiLevelType w:val="hybridMultilevel"/>
    <w:lvl w:ilvl="0">
      <w:lvlJc w:val="left"/>
      <w:lvlText w:val="(%1)"/>
      <w:numFmt w:val="lowerLetter"/>
      <w:start w:val="4"/>
    </w:lvl>
  </w:abstractNum>
  <w:abstractNum w:abstractNumId="8">
    <w:nsid w:val="614FD4A1"/>
    <w:multiLevelType w:val="hybridMultilevel"/>
    <w:lvl w:ilvl="0">
      <w:lvlJc w:val="left"/>
      <w:lvlText w:val="%1"/>
      <w:numFmt w:val="lowerLetter"/>
      <w:start w:val="1"/>
    </w:lvl>
    <w:lvl w:ilvl="1">
      <w:lvlJc w:val="left"/>
      <w:lvlText w:val="(%2)"/>
      <w:numFmt w:val="lowerLetter"/>
      <w:start w:val="8"/>
    </w:lvl>
  </w:abstractNum>
  <w:abstractNum w:abstractNumId="9">
    <w:nsid w:val="419AC241"/>
    <w:multiLevelType w:val="hybridMultilevel"/>
    <w:lvl w:ilvl="0">
      <w:lvlJc w:val="left"/>
      <w:lvlText w:val="(%1)"/>
      <w:numFmt w:val="lowerLetter"/>
      <w:start w:val="35"/>
    </w:lvl>
    <w:lvl w:ilvl="1">
      <w:lvlJc w:val="left"/>
      <w:lvlText w:val="%2"/>
      <w:numFmt w:val="lowerLetter"/>
      <w:start w:val="1"/>
    </w:lvl>
  </w:abstractNum>
  <w:abstractNum w:abstractNumId="10">
    <w:nsid w:val="5577F8E1"/>
    <w:multiLevelType w:val="hybridMultilevel"/>
    <w:lvl w:ilvl="0">
      <w:lvlJc w:val="left"/>
      <w:lvlText w:val="(%1)"/>
      <w:numFmt w:val="lowerLetter"/>
      <w:start w:val="9"/>
    </w:lvl>
  </w:abstractNum>
  <w:abstractNum w:abstractNumId="11">
    <w:nsid w:val="440BADFC"/>
    <w:multiLevelType w:val="hybridMultilevel"/>
    <w:lvl w:ilvl="0">
      <w:lvlJc w:val="left"/>
      <w:lvlText w:val="(%1)"/>
      <w:numFmt w:val="lowerLetter"/>
      <w:start w:val="12"/>
    </w:lvl>
  </w:abstractNum>
  <w:abstractNum w:abstractNumId="12">
    <w:nsid w:val="5072367"/>
    <w:multiLevelType w:val="hybridMultilevel"/>
    <w:lvl w:ilvl="0">
      <w:lvlJc w:val="left"/>
      <w:lvlText w:val="(%1)"/>
      <w:numFmt w:val="lowerLetter"/>
      <w:start w:val="18"/>
    </w:lvl>
  </w:abstractNum>
  <w:abstractNum w:abstractNumId="13">
    <w:nsid w:val="3804823E"/>
    <w:multiLevelType w:val="hybridMultilevel"/>
    <w:lvl w:ilvl="0">
      <w:lvlJc w:val="left"/>
      <w:lvlText w:val="(%1)"/>
      <w:numFmt w:val="upperLetter"/>
      <w:start w:val="1"/>
    </w:lvl>
    <w:lvl w:ilvl="1">
      <w:lvlJc w:val="left"/>
      <w:lvlText w:val="(%2)"/>
      <w:numFmt w:val="lowerLetter"/>
      <w:start w:val="23"/>
    </w:lvl>
  </w:abstractNum>
  <w:abstractNum w:abstractNumId="14">
    <w:nsid w:val="77465F01"/>
    <w:multiLevelType w:val="hybridMultilevel"/>
    <w:lvl w:ilvl="0">
      <w:lvlJc w:val="left"/>
      <w:lvlText w:val="(%1)"/>
      <w:numFmt w:val="lowerLetter"/>
      <w:start w:val="26"/>
    </w:lvl>
  </w:abstractNum>
  <w:abstractNum w:abstractNumId="15">
    <w:nsid w:val="7724C67E"/>
    <w:multiLevelType w:val="hybridMultilevel"/>
    <w:lvl w:ilvl="0">
      <w:lvlJc w:val="left"/>
      <w:lvlText w:val="%1"/>
      <w:numFmt w:val="lowerLetter"/>
      <w:start w:val="1"/>
    </w:lvl>
    <w:lvl w:ilvl="1">
      <w:lvlJc w:val="left"/>
      <w:lvlText w:val="(%2)"/>
      <w:numFmt w:val="lowerLetter"/>
      <w:start w:val="27"/>
    </w:lvl>
  </w:abstractNum>
  <w:abstractNum w:abstractNumId="16">
    <w:nsid w:val="5C482A97"/>
    <w:multiLevelType w:val="hybridMultilevel"/>
    <w:lvl w:ilvl="0">
      <w:lvlJc w:val="left"/>
      <w:lvlText w:val="(%1)"/>
      <w:numFmt w:val="lowerLetter"/>
      <w:start w:val="26"/>
    </w:lvl>
    <w:lvl w:ilvl="1">
      <w:lvlJc w:val="left"/>
      <w:lvlText w:val="%2"/>
      <w:numFmt w:val="lowerLetter"/>
      <w:start w:val="1"/>
    </w:lvl>
  </w:abstractNum>
  <w:abstractNum w:abstractNumId="17">
    <w:nsid w:val="2463B9EA"/>
    <w:multiLevelType w:val="hybridMultilevel"/>
    <w:lvl w:ilvl="0">
      <w:lvlJc w:val="left"/>
      <w:lvlText w:val="(%1)"/>
      <w:numFmt w:val="lowerLetter"/>
      <w:start w:val="29"/>
    </w:lvl>
  </w:abstractNum>
  <w:abstractNum w:abstractNumId="18">
    <w:nsid w:val="5E884ADC"/>
    <w:multiLevelType w:val="hybridMultilevel"/>
    <w:lvl w:ilvl="0">
      <w:lvlJc w:val="left"/>
      <w:lvlText w:val="(%1)"/>
      <w:numFmt w:val="lowerLetter"/>
      <w:start w:val="31"/>
    </w:lvl>
  </w:abstractNum>
  <w:abstractNum w:abstractNumId="19">
    <w:nsid w:val="51EAD36B"/>
    <w:multiLevelType w:val="hybridMultilevel"/>
    <w:lvl w:ilvl="0">
      <w:lvlJc w:val="left"/>
      <w:lvlText w:val="(%1)"/>
      <w:numFmt w:val="lowerLetter"/>
      <w:start w:val="33"/>
    </w:lvl>
  </w:abstractNum>
  <w:abstractNum w:abstractNumId="20">
    <w:nsid w:val="2D517796"/>
    <w:multiLevelType w:val="hybridMultilevel"/>
    <w:lvl w:ilvl="0">
      <w:lvlJc w:val="left"/>
      <w:lvlText w:val="(%1)"/>
      <w:numFmt w:val="lowerLetter"/>
      <w:start w:val="37"/>
    </w:lvl>
  </w:abstractNum>
  <w:abstractNum w:abstractNumId="21">
    <w:nsid w:val="580BD78F"/>
    <w:multiLevelType w:val="hybridMultilevel"/>
    <w:lvl w:ilvl="0">
      <w:lvlJc w:val="left"/>
      <w:lvlText w:val="(%1)"/>
      <w:numFmt w:val="lowerLetter"/>
      <w:start w:val="38"/>
    </w:lvl>
  </w:abstractNum>
  <w:abstractNum w:abstractNumId="22">
    <w:nsid w:val="153EA438"/>
    <w:multiLevelType w:val="hybridMultilevel"/>
    <w:lvl w:ilvl="0">
      <w:lvlJc w:val="left"/>
      <w:lvlText w:val="(%1)"/>
      <w:numFmt w:val="lowerLetter"/>
      <w:start w:val="40"/>
    </w:lvl>
  </w:abstractNum>
  <w:abstractNum w:abstractNumId="23">
    <w:nsid w:val="3855585C"/>
    <w:multiLevelType w:val="hybridMultilevel"/>
    <w:lvl w:ilvl="0">
      <w:lvlJc w:val="left"/>
      <w:lvlText w:val="%1"/>
      <w:numFmt w:val="lowerLetter"/>
      <w:start w:val="1"/>
    </w:lvl>
    <w:lvl w:ilvl="1">
      <w:lvlJc w:val="left"/>
      <w:lvlText w:val="(%2)"/>
      <w:numFmt w:val="lowerLetter"/>
      <w:start w:val="43"/>
    </w:lvl>
  </w:abstractNum>
  <w:abstractNum w:abstractNumId="24">
    <w:nsid w:val="70A64E2A"/>
    <w:multiLevelType w:val="hybridMultilevel"/>
    <w:lvl w:ilvl="0">
      <w:lvlJc w:val="left"/>
      <w:lvlText w:val="(%1)"/>
      <w:numFmt w:val="lowerLetter"/>
      <w:start w:val="35"/>
    </w:lvl>
    <w:lvl w:ilvl="1">
      <w:lvlJc w:val="left"/>
      <w:lvlText w:val="(%2)"/>
      <w:numFmt w:val="lowerLetter"/>
      <w:start w:val="44"/>
    </w:lvl>
  </w:abstractNum>
  <w:abstractNum w:abstractNumId="25">
    <w:nsid w:val="6A2342EC"/>
    <w:multiLevelType w:val="hybridMultilevel"/>
    <w:lvl w:ilvl="0">
      <w:lvlJc w:val="left"/>
      <w:lvlText w:val="(%1)"/>
      <w:numFmt w:val="lowerLetter"/>
      <w:start w:val="48"/>
    </w:lvl>
  </w:abstractNum>
  <w:abstractNum w:abstractNumId="26">
    <w:nsid w:val="2A487CB0"/>
    <w:multiLevelType w:val="hybridMultilevel"/>
    <w:lvl w:ilvl="0">
      <w:lvlJc w:val="left"/>
      <w:lvlText w:val="(%1)"/>
      <w:numFmt w:val="lowerLetter"/>
      <w:start w:val="50"/>
    </w:lvl>
  </w:abstractNum>
  <w:abstractNum w:abstractNumId="27">
    <w:nsid w:val="1D4ED43B"/>
    <w:multiLevelType w:val="hybridMultilevel"/>
    <w:lvl w:ilvl="0">
      <w:lvlJc w:val="left"/>
      <w:lvlText w:val="%1"/>
      <w:numFmt w:val="decimal"/>
      <w:start w:val="1"/>
    </w:lvl>
    <w:lvl w:ilvl="1">
      <w:lvlJc w:val="left"/>
      <w:lvlText w:val="(%2)"/>
      <w:numFmt w:val="lowerLetter"/>
      <w:start w:val="53"/>
    </w:lvl>
  </w:abstractNum>
  <w:abstractNum w:abstractNumId="28">
    <w:nsid w:val="725A06FB"/>
    <w:multiLevelType w:val="hybridMultilevel"/>
    <w:lvl w:ilvl="0">
      <w:lvlJc w:val="left"/>
      <w:lvlText w:val="%1."/>
      <w:numFmt w:val="decimal"/>
      <w:start w:val="4"/>
    </w:lvl>
    <w:lvl w:ilvl="1">
      <w:lvlJc w:val="left"/>
      <w:lvlText w:val="(%2)"/>
      <w:numFmt w:val="lowerLetter"/>
      <w:start w:val="1"/>
    </w:lvl>
  </w:abstractNum>
  <w:abstractNum w:abstractNumId="29">
    <w:nsid w:val="2CD89A32"/>
    <w:multiLevelType w:val="hybridMultilevel"/>
    <w:lvl w:ilvl="0">
      <w:lvlJc w:val="left"/>
      <w:lvlText w:val="%1"/>
      <w:numFmt w:val="upperLetter"/>
      <w:start w:val="1"/>
    </w:lvl>
    <w:lvl w:ilvl="1">
      <w:lvlJc w:val="left"/>
      <w:lvlText w:val="(%2)"/>
      <w:numFmt w:val="lowerLetter"/>
      <w:start w:val="2"/>
    </w:lvl>
  </w:abstractNum>
  <w:abstractNum w:abstractNumId="30">
    <w:nsid w:val="57E4CCAF"/>
    <w:multiLevelType w:val="hybridMultilevel"/>
    <w:lvl w:ilvl="0">
      <w:lvlJc w:val="left"/>
      <w:lvlText w:val="(%1)"/>
      <w:numFmt w:val="upperLetter"/>
      <w:start w:val="2"/>
    </w:lvl>
    <w:lvl w:ilvl="1">
      <w:lvlJc w:val="left"/>
      <w:lvlText w:val="(%2)"/>
      <w:numFmt w:val="lowerLetter"/>
      <w:start w:val="3"/>
    </w:lvl>
  </w:abstractNum>
  <w:abstractNum w:abstractNumId="31">
    <w:nsid w:val="7A6D8D3C"/>
    <w:multiLevelType w:val="hybridMultilevel"/>
    <w:lvl w:ilvl="0">
      <w:lvlJc w:val="left"/>
      <w:lvlText w:val="%1"/>
      <w:numFmt w:val="lowerLetter"/>
      <w:start w:val="1"/>
    </w:lvl>
    <w:lvl w:ilvl="1">
      <w:lvlJc w:val="left"/>
      <w:lvlText w:val="(%2)"/>
      <w:numFmt w:val="lowerLetter"/>
      <w:start w:val="5"/>
    </w:lvl>
  </w:abstractNum>
  <w:abstractNum w:abstractNumId="32">
    <w:nsid w:val="4B588F54"/>
    <w:multiLevelType w:val="hybridMultilevel"/>
    <w:lvl w:ilvl="0">
      <w:lvlJc w:val="left"/>
      <w:lvlText w:val="(%1)"/>
      <w:numFmt w:val="lowerLetter"/>
      <w:start w:val="61"/>
    </w:lvl>
    <w:lvl w:ilvl="1">
      <w:lvlJc w:val="left"/>
      <w:lvlText w:val="(%2)"/>
      <w:numFmt w:val="lowerLetter"/>
      <w:start w:val="7"/>
    </w:lvl>
  </w:abstractNum>
  <w:abstractNum w:abstractNumId="33">
    <w:nsid w:val="542289EC"/>
    <w:multiLevelType w:val="hybridMultilevel"/>
    <w:lvl w:ilvl="0">
      <w:lvlJc w:val="left"/>
      <w:lvlText w:val="(%1)"/>
      <w:numFmt w:val="lowerLetter"/>
      <w:start w:val="9"/>
    </w:lvl>
  </w:abstractNum>
  <w:abstractNum w:abstractNumId="34">
    <w:nsid w:val="6DE91B18"/>
    <w:multiLevelType w:val="hybridMultilevel"/>
    <w:lvl w:ilvl="0">
      <w:lvlJc w:val="left"/>
      <w:lvlText w:val="%1"/>
      <w:numFmt w:val="decimal"/>
      <w:start w:val="1"/>
    </w:lvl>
    <w:lvl w:ilvl="1">
      <w:lvlJc w:val="left"/>
      <w:lvlText w:val="(%2)"/>
      <w:numFmt w:val="lowerLetter"/>
      <w:start w:val="13"/>
    </w:lvl>
  </w:abstractNum>
  <w:abstractNum w:abstractNumId="35">
    <w:nsid w:val="38437FDB"/>
    <w:multiLevelType w:val="hybridMultilevel"/>
    <w:lvl w:ilvl="0">
      <w:lvlJc w:val="left"/>
      <w:lvlText w:val="%1."/>
      <w:numFmt w:val="decimal"/>
      <w:start w:val="5"/>
    </w:lvl>
    <w:lvl w:ilvl="1">
      <w:lvlJc w:val="left"/>
      <w:lvlText w:val="(%2)"/>
      <w:numFmt w:val="lowerLetter"/>
      <w:start w:val="1"/>
    </w:lvl>
  </w:abstractNum>
  <w:abstractNum w:abstractNumId="36">
    <w:nsid w:val="7644A45C"/>
    <w:multiLevelType w:val="hybridMultilevel"/>
    <w:lvl w:ilvl="0">
      <w:lvlJc w:val="left"/>
      <w:lvlText w:val="%1."/>
      <w:numFmt w:val="decimal"/>
      <w:start w:val="6"/>
    </w:lvl>
    <w:lvl w:ilvl="1">
      <w:lvlJc w:val="left"/>
      <w:lvlText w:val="(%2)"/>
      <w:numFmt w:val="lowerLetter"/>
      <w:start w:val="1"/>
    </w:lvl>
  </w:abstractNum>
  <w:abstractNum w:abstractNumId="37">
    <w:nsid w:val="32FFF902"/>
    <w:multiLevelType w:val="hybridMultilevel"/>
    <w:lvl w:ilvl="0">
      <w:lvlJc w:val="left"/>
      <w:lvlText w:val="(%1)"/>
      <w:numFmt w:val="lowerLetter"/>
      <w:start w:val="7"/>
    </w:lvl>
  </w:abstractNum>
  <w:abstractNum w:abstractNumId="38">
    <w:nsid w:val="684A481A"/>
    <w:multiLevelType w:val="hybridMultilevel"/>
    <w:lvl w:ilvl="0">
      <w:lvlJc w:val="left"/>
      <w:lvlText w:val="%1."/>
      <w:numFmt w:val="decimal"/>
      <w:start w:val="7"/>
    </w:lvl>
  </w:abstractNum>
  <w:abstractNum w:abstractNumId="39">
    <w:nsid w:val="579478FE"/>
    <w:multiLevelType w:val="hybridMultilevel"/>
    <w:lvl w:ilvl="0">
      <w:lvlJc w:val="left"/>
      <w:lvlText w:val="%1"/>
      <w:numFmt w:val="lowerLetter"/>
      <w:start w:val="1"/>
    </w:lvl>
    <w:lvl w:ilvl="1">
      <w:lvlJc w:val="left"/>
      <w:lvlText w:val="(%2)"/>
      <w:numFmt w:val="lowerLetter"/>
      <w:start w:val="1"/>
    </w:lvl>
  </w:abstractNum>
  <w:abstractNum w:abstractNumId="40">
    <w:nsid w:val="749ABB43"/>
    <w:multiLevelType w:val="hybridMultilevel"/>
    <w:lvl w:ilvl="0">
      <w:lvlJc w:val="left"/>
      <w:lvlText w:val="(%1)"/>
      <w:numFmt w:val="lowerLetter"/>
      <w:start w:val="35"/>
    </w:lvl>
    <w:lvl w:ilvl="1">
      <w:lvlJc w:val="left"/>
      <w:lvlText w:val="(%2)"/>
      <w:numFmt w:val="lowerLetter"/>
      <w:start w:val="2"/>
    </w:lvl>
  </w:abstractNum>
  <w:abstractNum w:abstractNumId="41">
    <w:nsid w:val="3DC240FB"/>
    <w:multiLevelType w:val="hybridMultilevel"/>
    <w:lvl w:ilvl="0">
      <w:lvlJc w:val="left"/>
      <w:lvlText w:val="(%1)"/>
      <w:numFmt w:val="lowerLetter"/>
      <w:start w:val="4"/>
    </w:lvl>
  </w:abstractNum>
  <w:abstractNum w:abstractNumId="42">
    <w:nsid w:val="1BA026FA"/>
    <w:multiLevelType w:val="hybridMultilevel"/>
    <w:lvl w:ilvl="0">
      <w:lvlJc w:val="left"/>
      <w:lvlText w:val="%1"/>
      <w:numFmt w:val="lowerLetter"/>
      <w:start w:val="1"/>
    </w:lvl>
    <w:lvl w:ilvl="1">
      <w:lvlJc w:val="left"/>
      <w:lvlText w:val="(%2)"/>
      <w:numFmt w:val="lowerLetter"/>
      <w:start w:val="5"/>
    </w:lvl>
  </w:abstractNum>
  <w:abstractNum w:abstractNumId="43">
    <w:nsid w:val="79A1DEAA"/>
    <w:multiLevelType w:val="hybridMultilevel"/>
    <w:lvl w:ilvl="0">
      <w:lvlJc w:val="left"/>
      <w:lvlText w:val="(%1)"/>
      <w:numFmt w:val="lowerLetter"/>
      <w:start w:val="4"/>
    </w:lvl>
    <w:lvl w:ilvl="1">
      <w:lvlJc w:val="left"/>
      <w:lvlText w:val="(%2)"/>
      <w:numFmt w:val="lowerLetter"/>
      <w:start w:val="6"/>
    </w:lvl>
  </w:abstractNum>
  <w:abstractNum w:abstractNumId="44">
    <w:nsid w:val="75C6C33A"/>
    <w:multiLevelType w:val="hybridMultilevel"/>
    <w:lvl w:ilvl="0">
      <w:lvlJc w:val="left"/>
      <w:lvlText w:val="%1."/>
      <w:numFmt w:val="decimal"/>
      <w:start w:val="8"/>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lowerLetter"/>
      <w:start w:val="2"/>
    </w:lvl>
  </w:abstractNum>
  <w:abstractNum w:abstractNumId="47">
    <w:nsid w:val="520EEDD1"/>
    <w:multiLevelType w:val="hybridMultilevel"/>
    <w:lvl w:ilvl="0">
      <w:lvlJc w:val="left"/>
      <w:lvlText w:val="%1."/>
      <w:numFmt w:val="decimal"/>
      <w:start w:val="11"/>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lowerLetter"/>
      <w:start w:val="2"/>
    </w:lvl>
  </w:abstractNum>
  <w:abstractNum w:abstractNumId="50">
    <w:nsid w:val="23F9C13C"/>
    <w:multiLevelType w:val="hybridMultilevel"/>
    <w:lvl w:ilvl="0">
      <w:lvlJc w:val="left"/>
      <w:lvlText w:val="%1."/>
      <w:numFmt w:val="decimal"/>
      <w:start w:val="12"/>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lowerLetter"/>
      <w:start w:val="2"/>
    </w:lvl>
    <w:lvl w:ilvl="1">
      <w:lvlJc w:val="left"/>
      <w:lvlText w:val="(%2)"/>
      <w:numFmt w:val="lowerRoman"/>
      <w:start w:val="1"/>
    </w:lvl>
  </w:abstractNum>
  <w:abstractNum w:abstractNumId="53">
    <w:nsid w:val="39386575"/>
    <w:multiLevelType w:val="hybridMultilevel"/>
    <w:lvl w:ilvl="0">
      <w:lvlJc w:val="left"/>
      <w:lvlText w:val="(%1)"/>
      <w:numFmt w:val="lowerRoman"/>
      <w:start w:val="1"/>
    </w:lvl>
  </w:abstractNum>
  <w:abstractNum w:abstractNumId="54">
    <w:nsid w:val="1CF10FD8"/>
    <w:multiLevelType w:val="hybridMultilevel"/>
    <w:lvl w:ilvl="0">
      <w:lvlJc w:val="left"/>
      <w:lvlText w:val="%1"/>
      <w:numFmt w:val="lowerLetter"/>
      <w:start w:val="1"/>
    </w:lvl>
    <w:lvl w:ilvl="1">
      <w:lvlJc w:val="left"/>
      <w:lvlText w:val="(%2)"/>
      <w:numFmt w:val="lowerLetter"/>
      <w:start w:val="35"/>
    </w:lvl>
  </w:abstractNum>
  <w:abstractNum w:abstractNumId="55">
    <w:nsid w:val="180115BE"/>
    <w:multiLevelType w:val="hybridMultilevel"/>
    <w:lvl w:ilvl="0">
      <w:lvlJc w:val="left"/>
      <w:lvlText w:val="(%1)"/>
      <w:numFmt w:val="lowerLetter"/>
      <w:start w:val="6"/>
    </w:lvl>
    <w:lvl w:ilvl="1">
      <w:lvlJc w:val="left"/>
      <w:lvlText w:val="%2"/>
      <w:numFmt w:val="lowerLetter"/>
      <w:start w:val="1"/>
    </w:lvl>
  </w:abstractNum>
  <w:abstractNum w:abstractNumId="56">
    <w:nsid w:val="235BA861"/>
    <w:multiLevelType w:val="hybridMultilevel"/>
    <w:lvl w:ilvl="0">
      <w:lvlJc w:val="left"/>
      <w:lvlText w:val="%1."/>
      <w:numFmt w:val="lowerLetter"/>
      <w:start w:val="1"/>
    </w:lvl>
  </w:abstractNum>
  <w:abstractNum w:abstractNumId="57">
    <w:nsid w:val="47398C89"/>
    <w:multiLevelType w:val="hybridMultilevel"/>
    <w:lvl w:ilvl="0">
      <w:lvlJc w:val="left"/>
      <w:lvlText w:val="(%1)"/>
      <w:numFmt w:val="lowerRoman"/>
      <w:start w:val="1"/>
    </w:lvl>
  </w:abstractNum>
  <w:abstractNum w:abstractNumId="58">
    <w:nsid w:val="354FE9F9"/>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2026-06-24T15:47:11Z</dcterms:created>
  <dcterms:modified xsi:type="dcterms:W3CDTF">2026-06-24T15:47:11Z</dcterms:modified>
</cp:coreProperties>
</file>