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Absci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Josh Garcia</w:t>
      </w:r>
    </w:p>
    <w:p>
      <w:pPr>
        <w:spacing w:after="0" w:line="8"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22"/>
          <w:szCs w:val="22"/>
          <w:b w:val="1"/>
          <w:bCs w:val="1"/>
          <w:color w:val="0000FF"/>
        </w:rPr>
        <w:t>900 Larkspur Landing Circle, Suite 270,</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Larkspur, CA, 94939</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(415) 489-9980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04/10/2026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Redmile Group, LLC</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ind w:left="1160"/>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7,607,449.00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7,607,449.00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7,607,449.00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4.9 %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(1) The source of funds was working capital of certain private investment vehicles managed by Redmile Group, LLC</w:t>
            </w:r>
          </w:p>
        </w:tc>
      </w:tr>
      <w:tr>
        <w:trPr>
          <w:trHeight w:val="229"/>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(the "Redmile Funds"). (2) The shares of common stock, $0.0001 par value per share, of the Issuer (the "Common</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Stock") that may be deemed beneficially owned by the Reporting Person are held directly by the Redmile Funds.</w:t>
            </w:r>
          </w:p>
        </w:tc>
      </w:tr>
    </w:tbl>
    <w:p>
      <w:pPr>
        <w:jc w:val="both"/>
        <w:ind w:right="20"/>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Redmile Group, LLC is the investment manager of the Redmile Funds and, in such capacity, exercises voting and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investment power over all of the shares held by the Redmile Funds and may be deemed to be the beneficial owner of</w:t>
      </w:r>
    </w:p>
    <w:p>
      <w:pPr>
        <w:spacing w:after="0" w:line="2" w:lineRule="exact"/>
        <w:rPr>
          <w:sz w:val="20"/>
          <w:szCs w:val="20"/>
          <w:color w:val="auto"/>
        </w:rPr>
      </w:pPr>
    </w:p>
    <w:p>
      <w:pPr>
        <w:jc w:val="both"/>
        <w:ind w:left="920"/>
        <w:spacing w:after="0" w:line="234" w:lineRule="auto"/>
        <w:rPr>
          <w:sz w:val="20"/>
          <w:szCs w:val="20"/>
          <w:color w:val="auto"/>
        </w:rPr>
      </w:pPr>
      <w:r>
        <w:rPr>
          <w:rFonts w:ascii="Times New Roman" w:cs="Times New Roman" w:eastAsia="Times New Roman" w:hAnsi="Times New Roman"/>
          <w:sz w:val="22"/>
          <w:szCs w:val="22"/>
          <w:color w:val="auto"/>
        </w:rPr>
        <w:t>these shares. Redmile Group, LLC disclaims beneficial ownership of these shares, except to the extent of its pecuniary interest in such shares, if any. (3) Percent of class calculated based on 153,021,263 shares of Common Stock outstanding as of March 6, 2026, as disclosed in the Issuer's annual report for the fiscal year ended December 31, 2025 filed with the SEC on March 24, 2026 (the "Annual Report").</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Jeremy C. Green</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 of funds (See Instructions)</w:t>
      </w:r>
    </w:p>
    <w:p>
      <w:pPr>
        <w:sectPr>
          <w:pgSz w:w="11900" w:h="16838" w:orient="portrait"/>
          <w:cols w:equalWidth="0" w:num="1">
            <w:col w:w="11240"/>
          </w:cols>
          <w:pgMar w:left="320" w:top="126" w:right="339" w:bottom="0" w:gutter="0" w:footer="0" w:header="0"/>
        </w:sectPr>
      </w:pPr>
    </w:p>
    <w:bookmarkStart w:id="2" w:name="page3"/>
    <w:bookmarkEnd w:id="2"/>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3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UNITED KINGDOM</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7,607,449.00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7,607,449.00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7,607,449.00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4.9 %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HC</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(1) The source of funds was working capital of the Redmile Funds. (2) The shares of Common Stock that may be</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deemed beneficially owned by the Reporting Person are held directly by the Redmile Funds. Jeremy C. Green serves</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as the managing member of Redmile Group, LLC and, in such capacity, exercises voting and investment power over</w:t>
            </w:r>
          </w:p>
        </w:tc>
      </w:tr>
    </w:tbl>
    <w:p>
      <w:pPr>
        <w:jc w:val="both"/>
        <w:spacing w:after="0" w:line="201" w:lineRule="auto"/>
        <w:rPr>
          <w:sz w:val="20"/>
          <w:szCs w:val="20"/>
          <w:color w:val="auto"/>
        </w:rPr>
      </w:pPr>
      <w:r>
        <w:rPr>
          <w:rFonts w:ascii="Times New Roman" w:cs="Times New Roman" w:eastAsia="Times New Roman" w:hAnsi="Times New Roman"/>
          <w:sz w:val="34"/>
          <w:szCs w:val="34"/>
          <w:b w:val="1"/>
          <w:bCs w:val="1"/>
          <w:color w:val="auto"/>
          <w:vertAlign w:val="superscript"/>
        </w:rPr>
        <w:t>Reporting</w:t>
      </w:r>
      <w:r>
        <w:rPr>
          <w:rFonts w:ascii="Times New Roman" w:cs="Times New Roman" w:eastAsia="Times New Roman" w:hAnsi="Times New Roman"/>
          <w:sz w:val="20"/>
          <w:szCs w:val="20"/>
          <w:color w:val="auto"/>
        </w:rPr>
        <w:t xml:space="preserve"> all of the shares held by the Redmile Funds and may be deemed to be the beneficial owner of these shares. Mr. Green </w:t>
      </w:r>
      <w:r>
        <w:rPr>
          <w:rFonts w:ascii="Times New Roman" w:cs="Times New Roman" w:eastAsia="Times New Roman" w:hAnsi="Times New Roman"/>
          <w:sz w:val="34"/>
          <w:szCs w:val="34"/>
          <w:b w:val="1"/>
          <w:bCs w:val="1"/>
          <w:color w:val="auto"/>
          <w:vertAlign w:val="superscript"/>
        </w:rPr>
        <w:t>Person:</w:t>
      </w:r>
      <w:r>
        <w:rPr>
          <w:rFonts w:ascii="Times New Roman" w:cs="Times New Roman" w:eastAsia="Times New Roman" w:hAnsi="Times New Roman"/>
          <w:sz w:val="20"/>
          <w:szCs w:val="20"/>
          <w:color w:val="auto"/>
        </w:rPr>
        <w:t xml:space="preserve"> disclaims beneficial ownership of these shares, except to the extent of his pecuniary interest in such shares, if any. (3)</w:t>
      </w:r>
    </w:p>
    <w:p>
      <w:pPr>
        <w:spacing w:after="0" w:line="1" w:lineRule="exact"/>
        <w:rPr>
          <w:sz w:val="20"/>
          <w:szCs w:val="20"/>
          <w:color w:val="auto"/>
        </w:rPr>
      </w:pPr>
    </w:p>
    <w:p>
      <w:pPr>
        <w:ind w:left="920"/>
        <w:spacing w:after="0" w:line="237" w:lineRule="auto"/>
        <w:rPr>
          <w:sz w:val="20"/>
          <w:szCs w:val="20"/>
          <w:color w:val="auto"/>
        </w:rPr>
      </w:pPr>
      <w:r>
        <w:rPr>
          <w:rFonts w:ascii="Times New Roman" w:cs="Times New Roman" w:eastAsia="Times New Roman" w:hAnsi="Times New Roman"/>
          <w:sz w:val="22"/>
          <w:szCs w:val="22"/>
          <w:color w:val="auto"/>
        </w:rPr>
        <w:t>Percent of class calculated based on 153,021,263 shares of Common Stock outstanding as of March 6, 2026 as disclosed in the Annual Report.</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Common Stock, $0.0001 par value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Absci Corporation</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18105 SE Mill Plain Blvd, Vancouver, WASHINGTON , 98683.</w:t>
      </w:r>
    </w:p>
    <w:p>
      <w:pPr>
        <w:spacing w:after="0" w:line="20" w:lineRule="exact"/>
        <w:rPr>
          <w:sz w:val="20"/>
          <w:szCs w:val="20"/>
          <w:color w:val="auto"/>
        </w:rPr>
      </w:pPr>
    </w:p>
    <w:p>
      <w:pPr>
        <w:jc w:val="right"/>
        <w:ind w:left="40" w:right="40"/>
        <w:spacing w:after="0" w:line="244"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4 to Schedule 13D (this "Amendment") amends and supplements the original Schedule 13D</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filed with the SEC on August 2, 2021, which was previously amended and supplemented by that Amendment No. 1</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to Schedule 13D filed with the SEC on March 5, 2024, Amendment No. 2 to Schedule 13D filed with the SEC on April 29, 2025 and Amendment No. 3 to Schedule 13D filed with the SEC on March 26, 2026 (collectively, the "Prior Schedule 13D"), by Redmile Group, LLC and Jeremy C. Green (each, a "Reporting Person"), and previously by Redmile Biopharma Investments II, L.P., relating to the common stock, par value $0.0001 per share (the "Common Stock"), of Absci Corporation, a Delaware corporation (the "Issuer"). Capitalized terms used but not defined in this Amendment No. 4 shall have the meanings set forth in the Prior Schedule 13D. Except as specifically</w:t>
      </w:r>
    </w:p>
    <w:p>
      <w:pPr>
        <w:spacing w:after="0" w:line="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amended by this Amendment No. 4, the Prior Schedule 13D is unchanged.</w:t>
      </w:r>
    </w:p>
    <w:p>
      <w:pPr>
        <w:sectPr>
          <w:pgSz w:w="11900" w:h="16838" w:orient="portrait"/>
          <w:cols w:equalWidth="0" w:num="1">
            <w:col w:w="11240"/>
          </w:cols>
          <w:pgMar w:left="320" w:top="355" w:right="339" w:bottom="0" w:gutter="0" w:footer="0" w:header="0"/>
        </w:sectPr>
      </w:pPr>
    </w:p>
    <w:bookmarkStart w:id="3" w:name="page4"/>
    <w:bookmarkEnd w:id="3"/>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5" w:lineRule="exact"/>
        <w:rPr>
          <w:sz w:val="20"/>
          <w:szCs w:val="20"/>
          <w:color w:val="auto"/>
        </w:rPr>
      </w:pPr>
    </w:p>
    <w:p>
      <w:pPr>
        <w:ind w:left="920" w:right="140"/>
        <w:spacing w:after="0" w:line="247" w:lineRule="auto"/>
        <w:rPr>
          <w:sz w:val="20"/>
          <w:szCs w:val="20"/>
          <w:color w:val="auto"/>
        </w:rPr>
      </w:pPr>
      <w:r>
        <w:rPr>
          <w:rFonts w:ascii="Times New Roman" w:cs="Times New Roman" w:eastAsia="Times New Roman" w:hAnsi="Times New Roman"/>
          <w:sz w:val="21"/>
          <w:szCs w:val="21"/>
          <w:color w:val="auto"/>
        </w:rPr>
        <w:t>Item 5(a) of the Prior Schedule 13D is hereby amended and restated in its entirety as follows: The aggregate amount of shares of Common Stock that may be deemed beneficially owned by the Reporting Persons is comprised of 7,607,449 shares of Common Stock held by the Redmile Funds. Redmile is the investment manager to the Redmile Funds and, in such capacity, exercises voting and investment power over all of the shares held by the Redmile Funds</w:t>
      </w:r>
    </w:p>
    <w:p>
      <w:pPr>
        <w:spacing w:after="0" w:line="2" w:lineRule="exact"/>
        <w:rPr>
          <w:sz w:val="20"/>
          <w:szCs w:val="20"/>
          <w:color w:val="auto"/>
        </w:rPr>
      </w:pPr>
    </w:p>
    <w:p>
      <w:pPr>
        <w:ind w:left="920" w:right="220" w:hanging="912"/>
        <w:spacing w:after="0" w:line="201" w:lineRule="auto"/>
        <w:tabs>
          <w:tab w:leader="none" w:pos="920" w:val="left"/>
        </w:tabs>
        <w:numPr>
          <w:ilvl w:val="0"/>
          <w:numId w:val="6"/>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and may be deemed to be the beneficial owner of these shares. Jeremy C. Green serves as the managing member of Redmile and also may be deemed to be the beneficial owner of these shares. Redmile and Mr. Green each disclaims beneficial ownership of these shares, except to the extent of its or his pecuniary interest in such shares, if any. For purposes of this Schedule 13D, the percent of class was calculated based on 153,021,263 shares of Common Stock outstanding as of March 6, 2026, as disclosed in the Issuer's annual report for the fiscal year ended December 31, 2025 filed with the SEC on March 24, 2026.</w:t>
      </w:r>
    </w:p>
    <w:p>
      <w:pPr>
        <w:spacing w:after="0" w:line="14"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1"/>
          <w:szCs w:val="21"/>
          <w:color w:val="auto"/>
        </w:rPr>
        <w:t>Item 5(b) of the Prior Schedule 13D is hereby amended and restated in its entirety as follows: Redmile Group, LLC:</w:t>
      </w:r>
    </w:p>
    <w:p>
      <w:pPr>
        <w:spacing w:after="0" w:line="25" w:lineRule="exact"/>
        <w:rPr>
          <w:rFonts w:ascii="Times New Roman" w:cs="Times New Roman" w:eastAsia="Times New Roman" w:hAnsi="Times New Roman"/>
          <w:sz w:val="43"/>
          <w:szCs w:val="43"/>
          <w:color w:val="auto"/>
          <w:vertAlign w:val="subscript"/>
        </w:rPr>
      </w:pPr>
    </w:p>
    <w:p>
      <w:pPr>
        <w:ind w:left="920" w:hanging="912"/>
        <w:spacing w:after="0" w:line="181" w:lineRule="auto"/>
        <w:tabs>
          <w:tab w:leader="none" w:pos="920" w:val="left"/>
        </w:tabs>
        <w:numPr>
          <w:ilvl w:val="0"/>
          <w:numId w:val="6"/>
        </w:numPr>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16"/>
          <w:szCs w:val="16"/>
          <w:color w:val="auto"/>
        </w:rPr>
        <w:t>(1) Sole Voting Power: 0 (2) Shared Voting Power: 7,607,449 (3) Sole Dispositive Power: 0 (4) Shared Dispositive</w:t>
      </w:r>
    </w:p>
    <w:p>
      <w:pPr>
        <w:ind w:left="920"/>
        <w:spacing w:after="0" w:line="230" w:lineRule="auto"/>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22"/>
          <w:szCs w:val="22"/>
          <w:color w:val="auto"/>
        </w:rPr>
        <w:t>Power: 7,607,449 Jeremy C. Green: (1) Sole Voting Power: 0 (2) Shared Voting Power: 7,607,449 (3) Sole</w:t>
      </w:r>
    </w:p>
    <w:p>
      <w:pPr>
        <w:ind w:left="920"/>
        <w:spacing w:after="0"/>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22"/>
          <w:szCs w:val="22"/>
          <w:color w:val="auto"/>
        </w:rPr>
        <w:t>Dispositive Power: 0 (4) Shared Dispositive Power: 7,607,449</w:t>
      </w:r>
    </w:p>
    <w:p>
      <w:pPr>
        <w:spacing w:after="0" w:line="20" w:lineRule="exact"/>
        <w:rPr>
          <w:rFonts w:ascii="Times New Roman" w:cs="Times New Roman" w:eastAsia="Times New Roman" w:hAnsi="Times New Roman"/>
          <w:sz w:val="28"/>
          <w:szCs w:val="28"/>
          <w:color w:val="auto"/>
          <w:vertAlign w:val="subscript"/>
        </w:rPr>
      </w:pPr>
    </w:p>
    <w:p>
      <w:pPr>
        <w:ind w:left="920" w:right="20"/>
        <w:spacing w:after="0" w:line="253" w:lineRule="auto"/>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21"/>
          <w:szCs w:val="21"/>
          <w:color w:val="auto"/>
        </w:rPr>
        <w:t>Reporting Transaction Amount of Price per Type of Person Date Securities Share Transaction Redmile April 10, 2026 645,867 $2.979(1) Open market Group, LLC transactions (1) The price per share reported above is a weighted</w:t>
      </w:r>
    </w:p>
    <w:p>
      <w:pPr>
        <w:ind w:left="920" w:right="260" w:hanging="912"/>
        <w:spacing w:after="0" w:line="249" w:lineRule="auto"/>
        <w:tabs>
          <w:tab w:leader="none" w:pos="9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average price. These shares were sold in multiple transactions at prices ranging from $2.90 to $3.04, inclusive. The Reporting Persons undertake to provide upon request by the staff of the Securities and Exchange Commission, the Issuer or a security holder of the Issuer full information regarding the number of shares sold at each separate price.</w:t>
      </w:r>
    </w:p>
    <w:p>
      <w:pPr>
        <w:spacing w:after="0" w:line="7"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Reporting Persons ceased to be 5% beneficial owners as of April 10, 2026.</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2"/>
          <w:szCs w:val="22"/>
          <w:color w:val="auto"/>
        </w:rPr>
        <w:t>Redmile Group, LLC</w:t>
      </w:r>
    </w:p>
    <w:p>
      <w:pPr>
        <w:spacing w:after="0" w:line="152" w:lineRule="exact"/>
        <w:rPr>
          <w:sz w:val="20"/>
          <w:szCs w:val="20"/>
          <w:color w:val="auto"/>
        </w:rPr>
      </w:pPr>
    </w:p>
    <w:p>
      <w:pPr>
        <w:ind w:left="3000"/>
        <w:spacing w:after="0"/>
        <w:tabs>
          <w:tab w:leader="none" w:pos="40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Jeremy C. Green</w:t>
      </w:r>
    </w:p>
    <w:p>
      <w:pPr>
        <w:spacing w:after="0" w:line="4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Name/Title: Managing Member</w:t>
      </w:r>
    </w:p>
    <w:p>
      <w:pPr>
        <w:spacing w:after="0" w:line="44" w:lineRule="exact"/>
        <w:rPr>
          <w:sz w:val="20"/>
          <w:szCs w:val="20"/>
          <w:color w:val="auto"/>
        </w:rPr>
      </w:pPr>
    </w:p>
    <w:p>
      <w:pPr>
        <w:ind w:left="3000"/>
        <w:spacing w:after="0"/>
        <w:tabs>
          <w:tab w:leader="none" w:pos="40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04/14/2026</w:t>
      </w:r>
    </w:p>
    <w:p>
      <w:pPr>
        <w:spacing w:after="0" w:line="15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2"/>
          <w:szCs w:val="22"/>
          <w:color w:val="auto"/>
        </w:rPr>
        <w:t>Jeremy C. Green</w:t>
      </w:r>
    </w:p>
    <w:p>
      <w:pPr>
        <w:spacing w:after="0" w:line="152" w:lineRule="exact"/>
        <w:rPr>
          <w:sz w:val="20"/>
          <w:szCs w:val="20"/>
          <w:color w:val="auto"/>
        </w:rPr>
      </w:pPr>
    </w:p>
    <w:p>
      <w:pPr>
        <w:ind w:left="3000"/>
        <w:spacing w:after="0"/>
        <w:tabs>
          <w:tab w:leader="none" w:pos="40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Jeremy C. Green</w:t>
      </w:r>
    </w:p>
    <w:p>
      <w:pPr>
        <w:spacing w:after="0" w:line="4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Name/Title: Jeremy C. Green</w:t>
      </w:r>
    </w:p>
    <w:p>
      <w:pPr>
        <w:spacing w:after="0" w:line="44" w:lineRule="exact"/>
        <w:rPr>
          <w:sz w:val="20"/>
          <w:szCs w:val="20"/>
          <w:color w:val="auto"/>
        </w:rPr>
      </w:pPr>
    </w:p>
    <w:p>
      <w:pPr>
        <w:ind w:left="3000"/>
        <w:spacing w:after="0"/>
        <w:tabs>
          <w:tab w:leader="none" w:pos="40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04/14/2026</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2"/>
      <w:numFmt w:val="bullet"/>
      <w:start w:val="1"/>
    </w:lvl>
  </w:abstractNum>
  <w:abstractNum w:abstractNumId="3">
    <w:nsid w:val="3D1B58BA"/>
    <w:multiLevelType w:val="hybridMultilevel"/>
    <w:lvl w:ilvl="0">
      <w:lvlJc w:val="left"/>
      <w:lvlText w:val="3"/>
      <w:numFmt w:val="bullet"/>
      <w:start w:val="1"/>
    </w:lvl>
  </w:abstractNum>
  <w:abstractNum w:abstractNumId="4">
    <w:nsid w:val="507ED7AB"/>
    <w:multiLevelType w:val="hybridMultilevel"/>
    <w:lvl w:ilvl="0">
      <w:lvlJc w:val="left"/>
      <w:lvlText w:val="4"/>
      <w:numFmt w:val="bullet"/>
      <w:start w:val="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2026-04-14T20:03:03Z</dcterms:created>
  <dcterms:modified xsi:type="dcterms:W3CDTF">2026-04-14T20:03:03Z</dcterms:modified>
</cp:coreProperties>
</file>